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5A" w:rsidRDefault="0052445A" w:rsidP="00960922">
      <w:pPr>
        <w:pBdr>
          <w:top w:val="nil"/>
          <w:left w:val="nil"/>
          <w:bottom w:val="nil"/>
          <w:right w:val="nil"/>
          <w:between w:val="nil"/>
        </w:pBdr>
        <w:jc w:val="center"/>
        <w:rPr>
          <w:b/>
          <w:sz w:val="24"/>
          <w:szCs w:val="24"/>
        </w:rPr>
      </w:pPr>
      <w:bookmarkStart w:id="0" w:name="_GoBack"/>
      <w:bookmarkEnd w:id="0"/>
      <w:r w:rsidRPr="0052445A">
        <w:rPr>
          <w:b/>
          <w:sz w:val="24"/>
          <w:szCs w:val="24"/>
        </w:rPr>
        <w:t>Використання моделі Bi-LSTM для підвищення точності прогнозування курсу криптовалют</w:t>
      </w:r>
    </w:p>
    <w:p w:rsidR="00960922" w:rsidRPr="00B10FBF" w:rsidRDefault="00960922" w:rsidP="00960922">
      <w:pPr>
        <w:pBdr>
          <w:top w:val="nil"/>
          <w:left w:val="nil"/>
          <w:bottom w:val="nil"/>
          <w:right w:val="nil"/>
          <w:between w:val="nil"/>
        </w:pBdr>
        <w:jc w:val="center"/>
        <w:rPr>
          <w:color w:val="000000"/>
          <w:sz w:val="24"/>
          <w:szCs w:val="24"/>
          <w:lang w:val="ru-RU"/>
        </w:rPr>
      </w:pPr>
      <w:r>
        <w:rPr>
          <w:i/>
          <w:sz w:val="24"/>
          <w:szCs w:val="24"/>
        </w:rPr>
        <w:t>Яцько</w:t>
      </w:r>
      <w:r w:rsidRPr="005F6A95">
        <w:rPr>
          <w:i/>
          <w:sz w:val="24"/>
          <w:szCs w:val="24"/>
        </w:rPr>
        <w:t xml:space="preserve"> </w:t>
      </w:r>
      <w:r>
        <w:rPr>
          <w:i/>
          <w:sz w:val="24"/>
          <w:szCs w:val="24"/>
        </w:rPr>
        <w:t>Я</w:t>
      </w:r>
      <w:r w:rsidRPr="005F6A95">
        <w:rPr>
          <w:i/>
          <w:sz w:val="24"/>
          <w:szCs w:val="24"/>
        </w:rPr>
        <w:t>.</w:t>
      </w:r>
      <w:r>
        <w:rPr>
          <w:i/>
          <w:sz w:val="24"/>
          <w:szCs w:val="24"/>
        </w:rPr>
        <w:t>В</w:t>
      </w:r>
      <w:r w:rsidRPr="005F6A95">
        <w:rPr>
          <w:i/>
          <w:sz w:val="24"/>
          <w:szCs w:val="24"/>
        </w:rPr>
        <w:t>.</w:t>
      </w:r>
      <w:r w:rsidR="00B10FBF" w:rsidRPr="00B10FBF">
        <w:rPr>
          <w:i/>
          <w:sz w:val="24"/>
          <w:szCs w:val="24"/>
          <w:vertAlign w:val="superscript"/>
          <w:lang w:val="ru-RU"/>
        </w:rPr>
        <w:t>1</w:t>
      </w:r>
      <w:r w:rsidRPr="005F6A95">
        <w:rPr>
          <w:i/>
          <w:sz w:val="24"/>
          <w:szCs w:val="24"/>
        </w:rPr>
        <w:t xml:space="preserve">, </w:t>
      </w:r>
      <w:r>
        <w:rPr>
          <w:i/>
          <w:sz w:val="24"/>
          <w:szCs w:val="24"/>
        </w:rPr>
        <w:t>Терентьєв</w:t>
      </w:r>
      <w:r w:rsidRPr="005F6A95">
        <w:rPr>
          <w:i/>
          <w:sz w:val="24"/>
          <w:szCs w:val="24"/>
        </w:rPr>
        <w:t xml:space="preserve"> </w:t>
      </w:r>
      <w:r>
        <w:rPr>
          <w:i/>
          <w:sz w:val="24"/>
          <w:szCs w:val="24"/>
        </w:rPr>
        <w:t>О</w:t>
      </w:r>
      <w:r w:rsidRPr="005F6A95">
        <w:rPr>
          <w:i/>
          <w:sz w:val="24"/>
          <w:szCs w:val="24"/>
        </w:rPr>
        <w:t>.</w:t>
      </w:r>
      <w:r>
        <w:rPr>
          <w:i/>
          <w:sz w:val="24"/>
          <w:szCs w:val="24"/>
        </w:rPr>
        <w:t>М</w:t>
      </w:r>
      <w:r w:rsidRPr="005F6A95">
        <w:rPr>
          <w:i/>
          <w:sz w:val="24"/>
          <w:szCs w:val="24"/>
        </w:rPr>
        <w:t>.</w:t>
      </w:r>
      <w:r w:rsidR="00B10FBF" w:rsidRPr="00B10FBF">
        <w:rPr>
          <w:i/>
          <w:sz w:val="24"/>
          <w:szCs w:val="24"/>
          <w:vertAlign w:val="superscript"/>
          <w:lang w:val="ru-RU"/>
        </w:rPr>
        <w:t>2</w:t>
      </w:r>
    </w:p>
    <w:p w:rsidR="00B10FBF" w:rsidRPr="00275C87" w:rsidRDefault="00B10FBF" w:rsidP="00960922">
      <w:pPr>
        <w:pBdr>
          <w:top w:val="nil"/>
          <w:left w:val="nil"/>
          <w:bottom w:val="nil"/>
          <w:right w:val="nil"/>
          <w:between w:val="nil"/>
        </w:pBdr>
        <w:jc w:val="center"/>
        <w:rPr>
          <w:i/>
          <w:color w:val="000000"/>
          <w:sz w:val="24"/>
          <w:szCs w:val="24"/>
          <w:lang w:val="ru-RU"/>
        </w:rPr>
      </w:pPr>
      <w:r w:rsidRPr="00B10FBF">
        <w:rPr>
          <w:i/>
          <w:color w:val="000000"/>
          <w:sz w:val="24"/>
          <w:szCs w:val="24"/>
          <w:lang w:val="ru-RU"/>
        </w:rPr>
        <w:t xml:space="preserve">1. </w:t>
      </w:r>
      <w:r w:rsidR="00960922">
        <w:rPr>
          <w:i/>
          <w:sz w:val="24"/>
          <w:szCs w:val="24"/>
        </w:rPr>
        <w:t>Національний технічний університет України «Київський політехнічний інститут імені І. Сікорського»</w:t>
      </w:r>
      <w:r w:rsidR="00960922" w:rsidRPr="00B10FBF">
        <w:rPr>
          <w:i/>
          <w:sz w:val="24"/>
          <w:szCs w:val="24"/>
        </w:rPr>
        <w:t>,</w:t>
      </w:r>
      <w:r w:rsidRPr="00B10FBF">
        <w:rPr>
          <w:i/>
          <w:sz w:val="24"/>
          <w:szCs w:val="24"/>
        </w:rPr>
        <w:t xml:space="preserve"> 2 Інститут телекомунікацій і глобального інформаційного простору Національної академії наук України</w:t>
      </w:r>
      <w:r w:rsidR="00960922" w:rsidRPr="005F6A95">
        <w:rPr>
          <w:i/>
          <w:color w:val="000000"/>
          <w:sz w:val="24"/>
          <w:szCs w:val="24"/>
        </w:rPr>
        <w:t xml:space="preserve">  </w:t>
      </w:r>
    </w:p>
    <w:p w:rsidR="00960922" w:rsidRPr="005F6A95" w:rsidRDefault="00960922" w:rsidP="00960922">
      <w:pPr>
        <w:pBdr>
          <w:top w:val="nil"/>
          <w:left w:val="nil"/>
          <w:bottom w:val="nil"/>
          <w:right w:val="nil"/>
          <w:between w:val="nil"/>
        </w:pBdr>
        <w:jc w:val="center"/>
        <w:rPr>
          <w:color w:val="000000"/>
          <w:sz w:val="24"/>
          <w:szCs w:val="24"/>
        </w:rPr>
      </w:pPr>
      <w:r w:rsidRPr="005F6A95">
        <w:rPr>
          <w:i/>
          <w:sz w:val="24"/>
          <w:szCs w:val="24"/>
        </w:rPr>
        <w:t xml:space="preserve">E - mail: </w:t>
      </w:r>
      <w:hyperlink r:id="rId7" w:history="1">
        <w:r w:rsidRPr="00275C87">
          <w:rPr>
            <w:rStyle w:val="a3"/>
            <w:i/>
            <w:sz w:val="24"/>
            <w:szCs w:val="24"/>
            <w:lang w:val="it-IT"/>
          </w:rPr>
          <w:t>yayatskaa</w:t>
        </w:r>
        <w:r w:rsidRPr="00643F7E">
          <w:rPr>
            <w:rStyle w:val="a3"/>
            <w:i/>
            <w:sz w:val="24"/>
            <w:szCs w:val="24"/>
          </w:rPr>
          <w:t>@gmail.com</w:t>
        </w:r>
      </w:hyperlink>
      <w:r>
        <w:rPr>
          <w:i/>
          <w:sz w:val="24"/>
          <w:szCs w:val="24"/>
        </w:rPr>
        <w:t xml:space="preserve">, </w:t>
      </w:r>
      <w:hyperlink r:id="rId8" w:history="1">
        <w:r w:rsidRPr="00643F7E">
          <w:rPr>
            <w:rStyle w:val="a3"/>
            <w:i/>
            <w:sz w:val="24"/>
            <w:szCs w:val="24"/>
          </w:rPr>
          <w:t>o.terentiev@gmail.com</w:t>
        </w:r>
      </w:hyperlink>
      <w:r w:rsidRPr="005F6A95">
        <w:rPr>
          <w:i/>
          <w:color w:val="000000"/>
          <w:sz w:val="24"/>
          <w:szCs w:val="24"/>
        </w:rPr>
        <w:t>)</w:t>
      </w:r>
    </w:p>
    <w:p w:rsidR="00960922" w:rsidRPr="005F6A95" w:rsidRDefault="00960922" w:rsidP="00960922">
      <w:pPr>
        <w:pBdr>
          <w:top w:val="nil"/>
          <w:left w:val="nil"/>
          <w:bottom w:val="nil"/>
          <w:right w:val="nil"/>
          <w:between w:val="nil"/>
        </w:pBdr>
        <w:jc w:val="center"/>
        <w:rPr>
          <w:color w:val="000000"/>
          <w:sz w:val="24"/>
          <w:szCs w:val="24"/>
        </w:rPr>
      </w:pPr>
    </w:p>
    <w:p w:rsidR="00BC165A" w:rsidRPr="00623987" w:rsidRDefault="00623987" w:rsidP="007E372C">
      <w:pPr>
        <w:pBdr>
          <w:top w:val="nil"/>
          <w:left w:val="nil"/>
          <w:bottom w:val="nil"/>
          <w:right w:val="nil"/>
          <w:between w:val="nil"/>
        </w:pBdr>
        <w:ind w:firstLine="426"/>
        <w:jc w:val="both"/>
        <w:rPr>
          <w:color w:val="000000"/>
          <w:sz w:val="24"/>
          <w:szCs w:val="24"/>
        </w:rPr>
      </w:pPr>
      <w:r w:rsidRPr="00623987">
        <w:rPr>
          <w:color w:val="000000"/>
          <w:sz w:val="24"/>
          <w:szCs w:val="24"/>
        </w:rPr>
        <w:t>Криптовалют</w:t>
      </w:r>
      <w:r w:rsidR="0052445A">
        <w:rPr>
          <w:color w:val="000000"/>
          <w:sz w:val="24"/>
          <w:szCs w:val="24"/>
        </w:rPr>
        <w:t>а</w:t>
      </w:r>
      <w:r w:rsidR="007E372C">
        <w:rPr>
          <w:color w:val="000000"/>
          <w:sz w:val="24"/>
          <w:szCs w:val="24"/>
        </w:rPr>
        <w:t xml:space="preserve"> </w:t>
      </w:r>
      <w:r w:rsidR="0052445A">
        <w:rPr>
          <w:color w:val="000000"/>
          <w:sz w:val="24"/>
          <w:szCs w:val="24"/>
        </w:rPr>
        <w:t xml:space="preserve">– </w:t>
      </w:r>
      <w:r w:rsidRPr="00623987">
        <w:rPr>
          <w:color w:val="000000"/>
          <w:sz w:val="24"/>
          <w:szCs w:val="24"/>
        </w:rPr>
        <w:t>цифрова валюта, яка використовується у фінансових системах і використовує технологію блокчейн і криптографічні функції для досягнення прозорості та децентралізації. Оскільки ціни на криптовалюту сильно коливаються, необхідні інструменти для їх моніторингу та прогнозування</w:t>
      </w:r>
      <w:r w:rsidR="00E8007A">
        <w:rPr>
          <w:color w:val="000000"/>
          <w:sz w:val="24"/>
          <w:szCs w:val="24"/>
        </w:rPr>
        <w:t xml:space="preserve"> </w:t>
      </w:r>
      <w:r w:rsidR="00E8007A" w:rsidRPr="0084678D">
        <w:rPr>
          <w:color w:val="000000"/>
          <w:sz w:val="24"/>
          <w:szCs w:val="24"/>
          <w:lang w:val="ru-RU"/>
        </w:rPr>
        <w:t>[1]</w:t>
      </w:r>
      <w:r w:rsidRPr="00623987">
        <w:rPr>
          <w:color w:val="000000"/>
          <w:sz w:val="24"/>
          <w:szCs w:val="24"/>
        </w:rPr>
        <w:t>. Довга короткочасна пам’ять (LSTM) – це модель глибокого навчання, яка здатна точно прогнозувати часові ряди даних. У цьому дослідженні</w:t>
      </w:r>
      <w:r w:rsidR="0052445A">
        <w:rPr>
          <w:color w:val="000000"/>
          <w:sz w:val="24"/>
          <w:szCs w:val="24"/>
        </w:rPr>
        <w:t xml:space="preserve"> </w:t>
      </w:r>
      <w:r w:rsidRPr="00623987">
        <w:rPr>
          <w:color w:val="000000"/>
          <w:sz w:val="24"/>
          <w:szCs w:val="24"/>
        </w:rPr>
        <w:t>використову</w:t>
      </w:r>
      <w:r w:rsidR="0052445A">
        <w:rPr>
          <w:color w:val="000000"/>
          <w:sz w:val="24"/>
          <w:szCs w:val="24"/>
        </w:rPr>
        <w:t xml:space="preserve">ється </w:t>
      </w:r>
      <w:r w:rsidRPr="00623987">
        <w:rPr>
          <w:color w:val="000000"/>
          <w:sz w:val="24"/>
          <w:szCs w:val="24"/>
        </w:rPr>
        <w:t>двонаправлен</w:t>
      </w:r>
      <w:r w:rsidR="0052445A">
        <w:rPr>
          <w:color w:val="000000"/>
          <w:sz w:val="24"/>
          <w:szCs w:val="24"/>
        </w:rPr>
        <w:t>а</w:t>
      </w:r>
      <w:r w:rsidRPr="00623987">
        <w:rPr>
          <w:color w:val="000000"/>
          <w:sz w:val="24"/>
          <w:szCs w:val="24"/>
        </w:rPr>
        <w:t xml:space="preserve"> LSTM</w:t>
      </w:r>
      <w:r w:rsidR="00E8007A" w:rsidRPr="0084678D">
        <w:rPr>
          <w:color w:val="000000"/>
          <w:sz w:val="24"/>
          <w:szCs w:val="24"/>
        </w:rPr>
        <w:t xml:space="preserve"> [2], [5].</w:t>
      </w:r>
      <w:r w:rsidRPr="00623987">
        <w:rPr>
          <w:color w:val="000000"/>
          <w:sz w:val="24"/>
          <w:szCs w:val="24"/>
        </w:rPr>
        <w:t xml:space="preserve"> (Bi-LSTM) </w:t>
      </w:r>
      <w:r w:rsidR="0052445A">
        <w:rPr>
          <w:color w:val="000000"/>
          <w:sz w:val="24"/>
          <w:szCs w:val="24"/>
        </w:rPr>
        <w:t xml:space="preserve">для </w:t>
      </w:r>
      <w:r w:rsidRPr="00623987">
        <w:rPr>
          <w:color w:val="000000"/>
          <w:sz w:val="24"/>
          <w:szCs w:val="24"/>
        </w:rPr>
        <w:t>підвищ</w:t>
      </w:r>
      <w:r w:rsidR="0052445A">
        <w:rPr>
          <w:color w:val="000000"/>
          <w:sz w:val="24"/>
          <w:szCs w:val="24"/>
        </w:rPr>
        <w:t>ення</w:t>
      </w:r>
      <w:r w:rsidRPr="00623987">
        <w:rPr>
          <w:color w:val="000000"/>
          <w:sz w:val="24"/>
          <w:szCs w:val="24"/>
        </w:rPr>
        <w:t xml:space="preserve"> точн</w:t>
      </w:r>
      <w:r w:rsidR="0052445A">
        <w:rPr>
          <w:color w:val="000000"/>
          <w:sz w:val="24"/>
          <w:szCs w:val="24"/>
        </w:rPr>
        <w:t>ості</w:t>
      </w:r>
      <w:r w:rsidRPr="00623987">
        <w:rPr>
          <w:color w:val="000000"/>
          <w:sz w:val="24"/>
          <w:szCs w:val="24"/>
        </w:rPr>
        <w:t xml:space="preserve"> і нормаліз</w:t>
      </w:r>
      <w:r w:rsidR="0052445A">
        <w:rPr>
          <w:color w:val="000000"/>
          <w:sz w:val="24"/>
          <w:szCs w:val="24"/>
        </w:rPr>
        <w:t>ації</w:t>
      </w:r>
      <w:r w:rsidRPr="00623987">
        <w:rPr>
          <w:color w:val="000000"/>
          <w:sz w:val="24"/>
          <w:szCs w:val="24"/>
        </w:rPr>
        <w:t xml:space="preserve"> оцінк</w:t>
      </w:r>
      <w:r w:rsidR="0052445A">
        <w:rPr>
          <w:color w:val="000000"/>
          <w:sz w:val="24"/>
          <w:szCs w:val="24"/>
        </w:rPr>
        <w:t>и</w:t>
      </w:r>
      <w:r w:rsidRPr="00623987">
        <w:rPr>
          <w:color w:val="000000"/>
          <w:sz w:val="24"/>
          <w:szCs w:val="24"/>
        </w:rPr>
        <w:t xml:space="preserve"> середньоквадратичної помилки (RMSE) з використанням чотирьох </w:t>
      </w:r>
      <w:r w:rsidR="0052445A">
        <w:rPr>
          <w:color w:val="000000"/>
          <w:sz w:val="24"/>
          <w:szCs w:val="24"/>
        </w:rPr>
        <w:t xml:space="preserve">криптомонет: </w:t>
      </w:r>
      <w:r w:rsidRPr="00623987">
        <w:rPr>
          <w:color w:val="000000"/>
          <w:sz w:val="24"/>
          <w:szCs w:val="24"/>
        </w:rPr>
        <w:t>Bitcoin, Ethereum, Ripple і Binance</w:t>
      </w:r>
      <w:r w:rsidR="0084678D" w:rsidRPr="0084678D">
        <w:rPr>
          <w:color w:val="000000"/>
          <w:sz w:val="24"/>
          <w:szCs w:val="24"/>
        </w:rPr>
        <w:t xml:space="preserve"> (</w:t>
      </w:r>
      <w:r w:rsidR="0084678D">
        <w:rPr>
          <w:color w:val="000000"/>
          <w:sz w:val="24"/>
          <w:szCs w:val="24"/>
          <w:lang w:val="en-US"/>
        </w:rPr>
        <w:t>BNB</w:t>
      </w:r>
      <w:r w:rsidR="0084678D" w:rsidRPr="0084678D">
        <w:rPr>
          <w:color w:val="000000"/>
          <w:sz w:val="24"/>
          <w:szCs w:val="24"/>
        </w:rPr>
        <w:t>)</w:t>
      </w:r>
      <w:r w:rsidRPr="00623987">
        <w:rPr>
          <w:color w:val="000000"/>
          <w:sz w:val="24"/>
          <w:szCs w:val="24"/>
        </w:rPr>
        <w:t xml:space="preserve">. </w:t>
      </w:r>
    </w:p>
    <w:p w:rsidR="0084678D" w:rsidRPr="007E372C" w:rsidRDefault="00623987" w:rsidP="007E372C">
      <w:pPr>
        <w:pBdr>
          <w:top w:val="nil"/>
          <w:left w:val="nil"/>
          <w:bottom w:val="nil"/>
          <w:right w:val="nil"/>
          <w:between w:val="nil"/>
        </w:pBdr>
        <w:ind w:firstLine="426"/>
        <w:jc w:val="both"/>
        <w:rPr>
          <w:color w:val="000000"/>
          <w:sz w:val="24"/>
          <w:szCs w:val="24"/>
        </w:rPr>
      </w:pPr>
      <w:r w:rsidRPr="00623987">
        <w:rPr>
          <w:color w:val="000000"/>
          <w:sz w:val="24"/>
          <w:szCs w:val="24"/>
        </w:rPr>
        <w:t xml:space="preserve">На ринок криптовалюти впливають фактори невизначеності, такі як політичні та економічні проблеми на глобальному рівні. Тому точна інтерпретація прогнозів є складним завданням. Іншою проблемою, яка є предметом цього дослідження, є щоденні коливання </w:t>
      </w:r>
      <w:r w:rsidR="00BC165A">
        <w:rPr>
          <w:color w:val="000000"/>
          <w:sz w:val="24"/>
          <w:szCs w:val="24"/>
        </w:rPr>
        <w:t>курсу</w:t>
      </w:r>
      <w:r w:rsidRPr="00623987">
        <w:rPr>
          <w:color w:val="000000"/>
          <w:sz w:val="24"/>
          <w:szCs w:val="24"/>
        </w:rPr>
        <w:t xml:space="preserve"> криптовалют, які необхідно вирішити за допомогою прикладного інструменту, який може відстежувати та запобігати невизначеності в транзакціях</w:t>
      </w:r>
      <w:r w:rsidR="00E8007A" w:rsidRPr="0084678D">
        <w:rPr>
          <w:color w:val="000000"/>
          <w:sz w:val="24"/>
          <w:szCs w:val="24"/>
        </w:rPr>
        <w:t xml:space="preserve"> [3]</w:t>
      </w:r>
      <w:r w:rsidRPr="00623987">
        <w:rPr>
          <w:color w:val="000000"/>
          <w:sz w:val="24"/>
          <w:szCs w:val="24"/>
        </w:rPr>
        <w:t xml:space="preserve">. На ринку криптовалют є багато популярних </w:t>
      </w:r>
      <w:r w:rsidR="00BC165A">
        <w:rPr>
          <w:color w:val="000000"/>
          <w:sz w:val="24"/>
          <w:szCs w:val="24"/>
        </w:rPr>
        <w:t>монет</w:t>
      </w:r>
      <w:r w:rsidRPr="00623987">
        <w:rPr>
          <w:color w:val="000000"/>
          <w:sz w:val="24"/>
          <w:szCs w:val="24"/>
        </w:rPr>
        <w:t xml:space="preserve">, таких як Bitcoin (BTC), Ethereum (ETH), Binance Coin (BNB) і Ripple (XRP). </w:t>
      </w:r>
    </w:p>
    <w:p w:rsidR="00A84D84" w:rsidRPr="00275C87" w:rsidRDefault="00623987" w:rsidP="007E372C">
      <w:pPr>
        <w:pBdr>
          <w:top w:val="nil"/>
          <w:left w:val="nil"/>
          <w:bottom w:val="nil"/>
          <w:right w:val="nil"/>
          <w:between w:val="nil"/>
        </w:pBdr>
        <w:jc w:val="both"/>
        <w:rPr>
          <w:color w:val="000000"/>
          <w:sz w:val="24"/>
          <w:szCs w:val="24"/>
        </w:rPr>
      </w:pPr>
      <w:r w:rsidRPr="00623987">
        <w:rPr>
          <w:color w:val="000000"/>
          <w:sz w:val="24"/>
          <w:szCs w:val="24"/>
        </w:rPr>
        <w:t>Попередн</w:t>
      </w:r>
      <w:r w:rsidR="00BC165A">
        <w:rPr>
          <w:color w:val="000000"/>
          <w:sz w:val="24"/>
          <w:szCs w:val="24"/>
        </w:rPr>
        <w:t>є</w:t>
      </w:r>
      <w:r w:rsidRPr="00623987">
        <w:rPr>
          <w:color w:val="000000"/>
          <w:sz w:val="24"/>
          <w:szCs w:val="24"/>
        </w:rPr>
        <w:t xml:space="preserve"> дослідження </w:t>
      </w:r>
      <w:r w:rsidR="00BC165A">
        <w:rPr>
          <w:color w:val="000000"/>
          <w:sz w:val="24"/>
          <w:szCs w:val="24"/>
        </w:rPr>
        <w:t xml:space="preserve">включало в себе використання </w:t>
      </w:r>
      <w:r w:rsidRPr="00623987">
        <w:rPr>
          <w:color w:val="000000"/>
          <w:sz w:val="24"/>
          <w:szCs w:val="24"/>
        </w:rPr>
        <w:t>алгоритм</w:t>
      </w:r>
      <w:r w:rsidR="00BC165A">
        <w:rPr>
          <w:color w:val="000000"/>
          <w:sz w:val="24"/>
          <w:szCs w:val="24"/>
        </w:rPr>
        <w:t>у</w:t>
      </w:r>
      <w:r w:rsidRPr="00623987">
        <w:rPr>
          <w:color w:val="000000"/>
          <w:sz w:val="24"/>
          <w:szCs w:val="24"/>
        </w:rPr>
        <w:t xml:space="preserve"> нейронної мережі з довгою короткочасною пам’яттю (LSTM). </w:t>
      </w:r>
      <w:r w:rsidR="00BC165A">
        <w:rPr>
          <w:color w:val="000000"/>
          <w:sz w:val="24"/>
          <w:szCs w:val="24"/>
        </w:rPr>
        <w:t xml:space="preserve">При цьому, </w:t>
      </w:r>
      <w:r w:rsidRPr="00623987">
        <w:rPr>
          <w:color w:val="000000"/>
          <w:sz w:val="24"/>
          <w:szCs w:val="24"/>
        </w:rPr>
        <w:t xml:space="preserve">значення RMSE </w:t>
      </w:r>
      <w:r w:rsidR="00BC165A">
        <w:rPr>
          <w:color w:val="000000"/>
          <w:sz w:val="24"/>
          <w:szCs w:val="24"/>
        </w:rPr>
        <w:t xml:space="preserve">мало </w:t>
      </w:r>
      <w:r w:rsidR="00BC165A">
        <w:rPr>
          <w:color w:val="000000"/>
          <w:sz w:val="24"/>
          <w:szCs w:val="24"/>
        </w:rPr>
        <w:lastRenderedPageBreak/>
        <w:t>значний розбіг (дисперсію)</w:t>
      </w:r>
      <w:r w:rsidRPr="00623987">
        <w:rPr>
          <w:color w:val="000000"/>
          <w:sz w:val="24"/>
          <w:szCs w:val="24"/>
        </w:rPr>
        <w:t xml:space="preserve"> від 2 000 до 50 000 доларів. </w:t>
      </w:r>
      <w:r w:rsidR="00BC165A">
        <w:rPr>
          <w:color w:val="000000"/>
          <w:sz w:val="24"/>
          <w:szCs w:val="24"/>
        </w:rPr>
        <w:t xml:space="preserve">Тому ціллю експерименту було використання моделі </w:t>
      </w:r>
      <w:r w:rsidR="00BC165A">
        <w:rPr>
          <w:color w:val="000000"/>
          <w:sz w:val="24"/>
          <w:szCs w:val="24"/>
          <w:lang w:val="en-US"/>
        </w:rPr>
        <w:t>Bi</w:t>
      </w:r>
      <w:r w:rsidR="00BC165A" w:rsidRPr="0084678D">
        <w:rPr>
          <w:color w:val="000000"/>
          <w:sz w:val="24"/>
          <w:szCs w:val="24"/>
          <w:lang w:val="ru-RU"/>
        </w:rPr>
        <w:t>-</w:t>
      </w:r>
      <w:r w:rsidR="00BC165A">
        <w:rPr>
          <w:color w:val="000000"/>
          <w:sz w:val="24"/>
          <w:szCs w:val="24"/>
          <w:lang w:val="en-US"/>
        </w:rPr>
        <w:t>LSTM</w:t>
      </w:r>
      <w:r w:rsidR="00BC165A" w:rsidRPr="0084678D">
        <w:rPr>
          <w:color w:val="000000"/>
          <w:sz w:val="24"/>
          <w:szCs w:val="24"/>
          <w:lang w:val="ru-RU"/>
        </w:rPr>
        <w:t xml:space="preserve"> </w:t>
      </w:r>
      <w:r w:rsidR="00BC165A">
        <w:rPr>
          <w:color w:val="000000"/>
          <w:sz w:val="24"/>
          <w:szCs w:val="24"/>
        </w:rPr>
        <w:t>для підвищення точності прогнозування.</w:t>
      </w:r>
    </w:p>
    <w:p w:rsidR="00A84D84" w:rsidRPr="00A84D84" w:rsidRDefault="00A84D84" w:rsidP="007E372C">
      <w:pPr>
        <w:pBdr>
          <w:top w:val="nil"/>
          <w:left w:val="nil"/>
          <w:bottom w:val="nil"/>
          <w:right w:val="nil"/>
          <w:between w:val="nil"/>
        </w:pBdr>
        <w:ind w:firstLine="426"/>
        <w:jc w:val="both"/>
        <w:rPr>
          <w:color w:val="000000"/>
          <w:sz w:val="24"/>
          <w:szCs w:val="24"/>
        </w:rPr>
      </w:pPr>
      <w:r w:rsidRPr="00623987">
        <w:rPr>
          <w:color w:val="000000"/>
          <w:sz w:val="24"/>
          <w:szCs w:val="24"/>
        </w:rPr>
        <w:t xml:space="preserve">Прогнозування </w:t>
      </w:r>
      <w:r>
        <w:rPr>
          <w:color w:val="000000"/>
          <w:sz w:val="24"/>
          <w:szCs w:val="24"/>
        </w:rPr>
        <w:t>курсу криптовалют</w:t>
      </w:r>
      <w:r w:rsidRPr="00623987">
        <w:rPr>
          <w:color w:val="000000"/>
          <w:sz w:val="24"/>
          <w:szCs w:val="24"/>
        </w:rPr>
        <w:t xml:space="preserve"> </w:t>
      </w:r>
      <w:r>
        <w:rPr>
          <w:color w:val="000000"/>
          <w:sz w:val="24"/>
          <w:szCs w:val="24"/>
        </w:rPr>
        <w:t>має незначні відмінності</w:t>
      </w:r>
      <w:r w:rsidRPr="00623987">
        <w:rPr>
          <w:color w:val="000000"/>
          <w:sz w:val="24"/>
          <w:szCs w:val="24"/>
        </w:rPr>
        <w:t xml:space="preserve"> від методу прогнозування акцій. Кращі результати можна отримати, поєднуючи </w:t>
      </w:r>
      <w:r>
        <w:rPr>
          <w:color w:val="000000"/>
          <w:sz w:val="24"/>
          <w:szCs w:val="24"/>
        </w:rPr>
        <w:t>різні</w:t>
      </w:r>
      <w:r w:rsidRPr="00623987">
        <w:rPr>
          <w:color w:val="000000"/>
          <w:sz w:val="24"/>
          <w:szCs w:val="24"/>
        </w:rPr>
        <w:t xml:space="preserve"> методи, такі як аналіз даних часових рядів, технічний аналіз фондового ринку та історичні дані з ціни, з декількома </w:t>
      </w:r>
      <w:r w:rsidRPr="00D85066">
        <w:rPr>
          <w:color w:val="000000"/>
          <w:sz w:val="24"/>
          <w:szCs w:val="24"/>
        </w:rPr>
        <w:t>алгоритмами [</w:t>
      </w:r>
      <w:r w:rsidR="0084678D" w:rsidRPr="00D85066">
        <w:rPr>
          <w:color w:val="000000"/>
          <w:sz w:val="24"/>
          <w:szCs w:val="24"/>
        </w:rPr>
        <w:t>4]–[6]</w:t>
      </w:r>
      <w:r w:rsidR="00D85066" w:rsidRPr="00D85066">
        <w:rPr>
          <w:color w:val="000000"/>
          <w:sz w:val="24"/>
          <w:szCs w:val="24"/>
        </w:rPr>
        <w:t>.</w:t>
      </w:r>
      <w:r w:rsidR="00D85066">
        <w:rPr>
          <w:color w:val="000000"/>
          <w:sz w:val="24"/>
          <w:szCs w:val="24"/>
        </w:rPr>
        <w:t xml:space="preserve"> </w:t>
      </w:r>
      <w:r>
        <w:rPr>
          <w:color w:val="000000"/>
          <w:sz w:val="24"/>
          <w:szCs w:val="24"/>
        </w:rPr>
        <w:t xml:space="preserve">В цьому дослідженні було використано дані з </w:t>
      </w:r>
      <w:r>
        <w:rPr>
          <w:color w:val="000000"/>
          <w:sz w:val="24"/>
          <w:szCs w:val="24"/>
          <w:lang w:val="en-US"/>
        </w:rPr>
        <w:t>Binance</w:t>
      </w:r>
      <w:r w:rsidRPr="0084678D">
        <w:rPr>
          <w:color w:val="000000"/>
          <w:sz w:val="24"/>
          <w:szCs w:val="24"/>
        </w:rPr>
        <w:t xml:space="preserve"> </w:t>
      </w:r>
      <w:r>
        <w:rPr>
          <w:color w:val="000000"/>
          <w:sz w:val="24"/>
          <w:szCs w:val="24"/>
        </w:rPr>
        <w:t xml:space="preserve">за останні 3 роки та використано модель </w:t>
      </w:r>
      <w:r w:rsidRPr="00623987">
        <w:rPr>
          <w:color w:val="000000"/>
          <w:sz w:val="24"/>
          <w:szCs w:val="24"/>
        </w:rPr>
        <w:t>Bi-LSTM</w:t>
      </w:r>
      <w:r>
        <w:rPr>
          <w:color w:val="000000"/>
          <w:sz w:val="24"/>
          <w:szCs w:val="24"/>
        </w:rPr>
        <w:t>, структура мережі якої зображена на рис.1:</w:t>
      </w:r>
    </w:p>
    <w:p w:rsidR="00A84D84" w:rsidRDefault="00A84D84" w:rsidP="007E372C">
      <w:pPr>
        <w:pBdr>
          <w:top w:val="nil"/>
          <w:left w:val="nil"/>
          <w:bottom w:val="nil"/>
          <w:right w:val="nil"/>
          <w:between w:val="nil"/>
        </w:pBdr>
        <w:ind w:firstLine="709"/>
        <w:rPr>
          <w:color w:val="000000"/>
          <w:sz w:val="24"/>
          <w:szCs w:val="24"/>
        </w:rPr>
      </w:pPr>
      <w:r w:rsidRPr="00A84D84">
        <w:rPr>
          <w:noProof/>
          <w:color w:val="000000"/>
          <w:sz w:val="24"/>
          <w:szCs w:val="24"/>
          <w:lang w:val="en-US" w:eastAsia="en-US"/>
        </w:rPr>
        <w:drawing>
          <wp:inline distT="0" distB="0" distL="0" distR="0" wp14:anchorId="40F191F4" wp14:editId="57AEAE09">
            <wp:extent cx="2740280" cy="18288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6575" cy="1853023"/>
                    </a:xfrm>
                    <a:prstGeom prst="rect">
                      <a:avLst/>
                    </a:prstGeom>
                  </pic:spPr>
                </pic:pic>
              </a:graphicData>
            </a:graphic>
          </wp:inline>
        </w:drawing>
      </w:r>
    </w:p>
    <w:p w:rsidR="00A84D84" w:rsidRPr="0084678D" w:rsidRDefault="00A84D84" w:rsidP="00A84D84">
      <w:pPr>
        <w:pBdr>
          <w:top w:val="nil"/>
          <w:left w:val="nil"/>
          <w:bottom w:val="nil"/>
          <w:right w:val="nil"/>
          <w:between w:val="nil"/>
        </w:pBdr>
        <w:ind w:firstLine="709"/>
        <w:jc w:val="center"/>
        <w:rPr>
          <w:color w:val="000000"/>
          <w:sz w:val="24"/>
          <w:szCs w:val="24"/>
          <w:lang w:val="ru-RU"/>
        </w:rPr>
      </w:pPr>
      <w:r>
        <w:rPr>
          <w:color w:val="000000"/>
          <w:sz w:val="24"/>
          <w:szCs w:val="24"/>
        </w:rPr>
        <w:t xml:space="preserve">Рис. 1 – Структура мережі </w:t>
      </w:r>
      <w:r w:rsidRPr="00623987">
        <w:rPr>
          <w:color w:val="000000"/>
          <w:sz w:val="24"/>
          <w:szCs w:val="24"/>
        </w:rPr>
        <w:t>Bi-LSTM</w:t>
      </w:r>
      <w:r w:rsidR="0084678D">
        <w:rPr>
          <w:color w:val="000000"/>
          <w:sz w:val="24"/>
          <w:szCs w:val="24"/>
          <w:lang w:val="ru-RU"/>
        </w:rPr>
        <w:t xml:space="preserve"> </w:t>
      </w:r>
      <w:r w:rsidR="0084678D" w:rsidRPr="00D85066">
        <w:rPr>
          <w:color w:val="000000"/>
          <w:sz w:val="24"/>
          <w:szCs w:val="24"/>
          <w:lang w:val="ru-RU"/>
        </w:rPr>
        <w:t>[</w:t>
      </w:r>
      <w:r w:rsidR="00D85066" w:rsidRPr="00275C87">
        <w:rPr>
          <w:color w:val="000000"/>
          <w:sz w:val="24"/>
          <w:szCs w:val="24"/>
        </w:rPr>
        <w:t>7</w:t>
      </w:r>
      <w:r w:rsidR="0084678D" w:rsidRPr="00D85066">
        <w:rPr>
          <w:color w:val="000000"/>
          <w:sz w:val="24"/>
          <w:szCs w:val="24"/>
          <w:lang w:val="ru-RU"/>
        </w:rPr>
        <w:t>]</w:t>
      </w:r>
    </w:p>
    <w:p w:rsidR="00A84D84" w:rsidRPr="00623987" w:rsidRDefault="00A84D84" w:rsidP="00A84D84">
      <w:pPr>
        <w:pBdr>
          <w:top w:val="nil"/>
          <w:left w:val="nil"/>
          <w:bottom w:val="nil"/>
          <w:right w:val="nil"/>
          <w:between w:val="nil"/>
        </w:pBdr>
        <w:ind w:firstLine="709"/>
        <w:jc w:val="center"/>
        <w:rPr>
          <w:color w:val="000000"/>
          <w:sz w:val="24"/>
          <w:szCs w:val="24"/>
        </w:rPr>
      </w:pPr>
    </w:p>
    <w:p w:rsidR="00A84D84" w:rsidRDefault="00A84D84" w:rsidP="007E372C">
      <w:pPr>
        <w:pBdr>
          <w:top w:val="nil"/>
          <w:left w:val="nil"/>
          <w:bottom w:val="nil"/>
          <w:right w:val="nil"/>
          <w:between w:val="nil"/>
        </w:pBdr>
        <w:ind w:firstLine="426"/>
        <w:jc w:val="both"/>
        <w:rPr>
          <w:color w:val="000000"/>
          <w:sz w:val="24"/>
          <w:szCs w:val="24"/>
        </w:rPr>
      </w:pPr>
      <w:r>
        <w:rPr>
          <w:color w:val="000000"/>
          <w:sz w:val="24"/>
          <w:szCs w:val="24"/>
        </w:rPr>
        <w:t>В табл. 1 розміщено результати оцінки моделі на основі</w:t>
      </w:r>
      <w:r w:rsidR="00275C87">
        <w:rPr>
          <w:color w:val="000000"/>
          <w:sz w:val="24"/>
          <w:szCs w:val="24"/>
        </w:rPr>
        <w:t xml:space="preserve"> значе</w:t>
      </w:r>
      <w:r w:rsidRPr="00623987">
        <w:rPr>
          <w:color w:val="000000"/>
          <w:sz w:val="24"/>
          <w:szCs w:val="24"/>
        </w:rPr>
        <w:t>н</w:t>
      </w:r>
      <w:r>
        <w:rPr>
          <w:color w:val="000000"/>
          <w:sz w:val="24"/>
          <w:szCs w:val="24"/>
        </w:rPr>
        <w:t>ь</w:t>
      </w:r>
      <w:r w:rsidRPr="00623987">
        <w:rPr>
          <w:color w:val="000000"/>
          <w:sz w:val="24"/>
          <w:szCs w:val="24"/>
        </w:rPr>
        <w:t xml:space="preserve"> MAPE і RMSE</w:t>
      </w:r>
      <w:r>
        <w:rPr>
          <w:color w:val="000000"/>
          <w:sz w:val="24"/>
          <w:szCs w:val="24"/>
        </w:rPr>
        <w:t>:</w:t>
      </w:r>
    </w:p>
    <w:p w:rsidR="00FA0BEC" w:rsidRDefault="00FA0BEC" w:rsidP="00A84D84">
      <w:pPr>
        <w:pBdr>
          <w:top w:val="nil"/>
          <w:left w:val="nil"/>
          <w:bottom w:val="nil"/>
          <w:right w:val="nil"/>
          <w:between w:val="nil"/>
        </w:pBdr>
        <w:ind w:firstLine="709"/>
        <w:jc w:val="both"/>
        <w:rPr>
          <w:color w:val="000000"/>
          <w:sz w:val="24"/>
          <w:szCs w:val="24"/>
        </w:rPr>
      </w:pPr>
    </w:p>
    <w:p w:rsidR="00A84D84" w:rsidRDefault="00A84D84" w:rsidP="00FA0BEC">
      <w:pPr>
        <w:pBdr>
          <w:top w:val="nil"/>
          <w:left w:val="nil"/>
          <w:bottom w:val="nil"/>
          <w:right w:val="nil"/>
          <w:between w:val="nil"/>
        </w:pBdr>
        <w:ind w:firstLine="709"/>
        <w:jc w:val="right"/>
        <w:rPr>
          <w:color w:val="000000"/>
          <w:sz w:val="24"/>
          <w:szCs w:val="24"/>
        </w:rPr>
      </w:pPr>
      <w:r>
        <w:rPr>
          <w:color w:val="000000"/>
          <w:sz w:val="24"/>
          <w:szCs w:val="24"/>
        </w:rPr>
        <w:t xml:space="preserve">Таблиця 1. </w:t>
      </w:r>
      <w:r w:rsidR="00FA0BEC">
        <w:rPr>
          <w:color w:val="000000"/>
          <w:sz w:val="24"/>
          <w:szCs w:val="24"/>
        </w:rPr>
        <w:t>Метрики якості моделі</w:t>
      </w:r>
    </w:p>
    <w:tbl>
      <w:tblPr>
        <w:tblStyle w:val="a4"/>
        <w:tblW w:w="0" w:type="auto"/>
        <w:tblLook w:val="04A0" w:firstRow="1" w:lastRow="0" w:firstColumn="1" w:lastColumn="0" w:noHBand="0" w:noVBand="1"/>
      </w:tblPr>
      <w:tblGrid>
        <w:gridCol w:w="1545"/>
        <w:gridCol w:w="1605"/>
        <w:gridCol w:w="1600"/>
        <w:gridCol w:w="1363"/>
      </w:tblGrid>
      <w:tr w:rsidR="00FA0BEC" w:rsidTr="00FA0BEC">
        <w:tc>
          <w:tcPr>
            <w:tcW w:w="2407" w:type="dxa"/>
          </w:tcPr>
          <w:p w:rsidR="00FA0BEC" w:rsidRDefault="00FA0BEC" w:rsidP="00FA0BEC">
            <w:pPr>
              <w:jc w:val="center"/>
              <w:rPr>
                <w:color w:val="000000"/>
                <w:sz w:val="24"/>
                <w:szCs w:val="24"/>
              </w:rPr>
            </w:pPr>
            <w:r>
              <w:rPr>
                <w:color w:val="000000"/>
                <w:sz w:val="24"/>
                <w:szCs w:val="24"/>
              </w:rPr>
              <w:t>Монета</w:t>
            </w:r>
          </w:p>
        </w:tc>
        <w:tc>
          <w:tcPr>
            <w:tcW w:w="2407" w:type="dxa"/>
          </w:tcPr>
          <w:p w:rsidR="00FA0BEC" w:rsidRPr="00FA0BEC" w:rsidRDefault="00FA0BEC" w:rsidP="00FA0BEC">
            <w:pPr>
              <w:pStyle w:val="Default"/>
              <w:jc w:val="center"/>
              <w:rPr>
                <w:rFonts w:eastAsia="Times New Roman"/>
                <w:lang w:val="uk-UA" w:eastAsia="uk-UA"/>
              </w:rPr>
            </w:pPr>
            <w:r w:rsidRPr="00FA0BEC">
              <w:rPr>
                <w:rFonts w:eastAsia="Times New Roman"/>
                <w:lang w:val="uk-UA" w:eastAsia="uk-UA"/>
              </w:rPr>
              <w:t>RMSE</w:t>
            </w:r>
          </w:p>
        </w:tc>
        <w:tc>
          <w:tcPr>
            <w:tcW w:w="2407" w:type="dxa"/>
          </w:tcPr>
          <w:p w:rsidR="00FA0BEC" w:rsidRPr="00FA0BEC" w:rsidRDefault="00FA0BEC" w:rsidP="00FA0BEC">
            <w:pPr>
              <w:pStyle w:val="Default"/>
              <w:jc w:val="center"/>
              <w:rPr>
                <w:rFonts w:eastAsia="Times New Roman"/>
                <w:lang w:val="uk-UA" w:eastAsia="uk-UA"/>
              </w:rPr>
            </w:pPr>
            <w:r w:rsidRPr="00FA0BEC">
              <w:rPr>
                <w:rFonts w:eastAsia="Times New Roman"/>
                <w:lang w:val="uk-UA" w:eastAsia="uk-UA"/>
              </w:rPr>
              <w:t>Normalize RMSE</w:t>
            </w:r>
          </w:p>
        </w:tc>
        <w:tc>
          <w:tcPr>
            <w:tcW w:w="2407" w:type="dxa"/>
          </w:tcPr>
          <w:p w:rsidR="00FA0BEC" w:rsidRPr="00FA0BEC" w:rsidRDefault="00FA0BEC" w:rsidP="00FA0BEC">
            <w:pPr>
              <w:pStyle w:val="Default"/>
              <w:jc w:val="center"/>
              <w:rPr>
                <w:rFonts w:eastAsia="Times New Roman"/>
                <w:lang w:val="uk-UA" w:eastAsia="uk-UA"/>
              </w:rPr>
            </w:pPr>
            <w:r w:rsidRPr="00FA0BEC">
              <w:rPr>
                <w:rFonts w:eastAsia="Times New Roman"/>
                <w:lang w:val="uk-UA" w:eastAsia="uk-UA"/>
              </w:rPr>
              <w:t>MAPE (%)</w:t>
            </w:r>
          </w:p>
        </w:tc>
      </w:tr>
      <w:tr w:rsidR="00FA0BEC" w:rsidTr="00FA0BE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Bitcoin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2343.2200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0.062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4.0 </w:t>
            </w:r>
          </w:p>
        </w:tc>
      </w:tr>
      <w:tr w:rsidR="00FA0BEC" w:rsidTr="00FA0BE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Ethereum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203.8900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0.063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5.31 </w:t>
            </w:r>
          </w:p>
        </w:tc>
      </w:tr>
      <w:tr w:rsidR="00FA0BEC" w:rsidTr="00FA0BE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Binance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404.1800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0.073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5.64 </w:t>
            </w:r>
          </w:p>
        </w:tc>
      </w:tr>
      <w:tr w:rsidR="00FA0BEC" w:rsidTr="00FA0BE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Ripple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0.0933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0.066 </w:t>
            </w:r>
          </w:p>
        </w:tc>
        <w:tc>
          <w:tcPr>
            <w:tcW w:w="2407" w:type="dxa"/>
          </w:tcPr>
          <w:p w:rsidR="00FA0BEC" w:rsidRPr="00FA0BEC" w:rsidRDefault="00FA0BEC" w:rsidP="00FA0BEC">
            <w:pPr>
              <w:pStyle w:val="Default"/>
              <w:jc w:val="right"/>
              <w:rPr>
                <w:rFonts w:eastAsia="Times New Roman"/>
                <w:lang w:val="uk-UA" w:eastAsia="uk-UA"/>
              </w:rPr>
            </w:pPr>
            <w:r w:rsidRPr="00FA0BEC">
              <w:rPr>
                <w:rFonts w:eastAsia="Times New Roman"/>
                <w:lang w:val="uk-UA" w:eastAsia="uk-UA"/>
              </w:rPr>
              <w:t xml:space="preserve">5.82 </w:t>
            </w:r>
          </w:p>
        </w:tc>
      </w:tr>
    </w:tbl>
    <w:p w:rsidR="00FA0BEC" w:rsidRPr="00BC165A" w:rsidRDefault="00FA0BEC" w:rsidP="00FA0BEC">
      <w:pPr>
        <w:pBdr>
          <w:top w:val="nil"/>
          <w:left w:val="nil"/>
          <w:bottom w:val="nil"/>
          <w:right w:val="nil"/>
          <w:between w:val="nil"/>
        </w:pBdr>
        <w:ind w:firstLine="709"/>
        <w:jc w:val="right"/>
        <w:rPr>
          <w:color w:val="000000"/>
          <w:sz w:val="24"/>
          <w:szCs w:val="24"/>
        </w:rPr>
      </w:pPr>
    </w:p>
    <w:p w:rsidR="00FA0BEC" w:rsidRDefault="00FA0BEC" w:rsidP="007E372C">
      <w:pPr>
        <w:pBdr>
          <w:top w:val="nil"/>
          <w:left w:val="nil"/>
          <w:bottom w:val="nil"/>
          <w:right w:val="nil"/>
          <w:between w:val="nil"/>
        </w:pBdr>
        <w:ind w:firstLine="426"/>
        <w:jc w:val="both"/>
        <w:rPr>
          <w:color w:val="000000"/>
          <w:sz w:val="24"/>
          <w:szCs w:val="24"/>
        </w:rPr>
      </w:pPr>
      <w:r>
        <w:rPr>
          <w:color w:val="000000"/>
          <w:sz w:val="24"/>
          <w:szCs w:val="24"/>
        </w:rPr>
        <w:lastRenderedPageBreak/>
        <w:t xml:space="preserve">Слід зазначити, що результати є кращими, ніж в попередньому експерименті з використанням простої моделі </w:t>
      </w:r>
      <w:r w:rsidRPr="00623987">
        <w:rPr>
          <w:color w:val="000000"/>
          <w:sz w:val="24"/>
          <w:szCs w:val="24"/>
        </w:rPr>
        <w:t>LSTM</w:t>
      </w:r>
      <w:r>
        <w:rPr>
          <w:color w:val="000000"/>
          <w:sz w:val="24"/>
          <w:szCs w:val="24"/>
        </w:rPr>
        <w:t xml:space="preserve"> (</w:t>
      </w:r>
      <w:r w:rsidRPr="0084678D">
        <w:rPr>
          <w:color w:val="000000"/>
          <w:sz w:val="24"/>
          <w:szCs w:val="24"/>
        </w:rPr>
        <w:t xml:space="preserve">RMSE </w:t>
      </w:r>
      <w:r>
        <w:rPr>
          <w:color w:val="000000"/>
          <w:sz w:val="24"/>
          <w:szCs w:val="24"/>
        </w:rPr>
        <w:t>менше на 20 % пунктів</w:t>
      </w:r>
      <w:r w:rsidRPr="0084678D">
        <w:rPr>
          <w:color w:val="000000"/>
          <w:sz w:val="24"/>
          <w:szCs w:val="24"/>
        </w:rPr>
        <w:t>).</w:t>
      </w:r>
      <w:r w:rsidR="00BC165A" w:rsidRPr="00623987">
        <w:rPr>
          <w:color w:val="000000"/>
          <w:sz w:val="24"/>
          <w:szCs w:val="24"/>
        </w:rPr>
        <w:t xml:space="preserve"> Після нормалізації результати стають ближчими до 0, а оцінка MAPE становить менше 10% за RMSE</w:t>
      </w:r>
      <w:r w:rsidR="00E8007A" w:rsidRPr="0084678D">
        <w:rPr>
          <w:color w:val="000000"/>
          <w:sz w:val="24"/>
          <w:szCs w:val="24"/>
        </w:rPr>
        <w:t xml:space="preserve"> [4], [6]</w:t>
      </w:r>
      <w:r w:rsidR="00BC165A" w:rsidRPr="00623987">
        <w:rPr>
          <w:color w:val="000000"/>
          <w:sz w:val="24"/>
          <w:szCs w:val="24"/>
        </w:rPr>
        <w:t>.</w:t>
      </w:r>
      <w:r w:rsidR="0084678D">
        <w:rPr>
          <w:color w:val="000000"/>
          <w:sz w:val="24"/>
          <w:szCs w:val="24"/>
        </w:rPr>
        <w:t xml:space="preserve"> </w:t>
      </w:r>
      <w:r>
        <w:rPr>
          <w:color w:val="000000"/>
          <w:sz w:val="24"/>
          <w:szCs w:val="24"/>
        </w:rPr>
        <w:t xml:space="preserve">На рис. 2 зображено порівняльну тенденцію реальних даних та прогнозу за допомогою моделі </w:t>
      </w:r>
      <w:r w:rsidR="00E8007A">
        <w:rPr>
          <w:color w:val="000000"/>
          <w:sz w:val="24"/>
          <w:szCs w:val="24"/>
        </w:rPr>
        <w:t>експерименту</w:t>
      </w:r>
      <w:r w:rsidR="0084678D">
        <w:rPr>
          <w:color w:val="000000"/>
          <w:sz w:val="24"/>
          <w:szCs w:val="24"/>
        </w:rPr>
        <w:t>.</w:t>
      </w:r>
    </w:p>
    <w:p w:rsidR="000446FE" w:rsidRDefault="000446FE" w:rsidP="0084678D">
      <w:pPr>
        <w:pBdr>
          <w:top w:val="nil"/>
          <w:left w:val="nil"/>
          <w:bottom w:val="nil"/>
          <w:right w:val="nil"/>
          <w:between w:val="nil"/>
        </w:pBdr>
        <w:ind w:firstLine="709"/>
        <w:jc w:val="both"/>
        <w:rPr>
          <w:color w:val="000000"/>
          <w:sz w:val="24"/>
          <w:szCs w:val="24"/>
        </w:rPr>
      </w:pPr>
    </w:p>
    <w:p w:rsidR="00FA0BEC" w:rsidRDefault="006429F2" w:rsidP="00FA0BEC">
      <w:pPr>
        <w:pBdr>
          <w:top w:val="nil"/>
          <w:left w:val="nil"/>
          <w:bottom w:val="nil"/>
          <w:right w:val="nil"/>
          <w:between w:val="nil"/>
        </w:pBdr>
        <w:jc w:val="center"/>
        <w:rPr>
          <w:color w:val="000000"/>
          <w:sz w:val="24"/>
          <w:szCs w:val="24"/>
        </w:rPr>
      </w:pPr>
      <w:r>
        <w:rPr>
          <w:noProof/>
          <w:color w:val="000000"/>
          <w:sz w:val="24"/>
          <w:szCs w:val="24"/>
          <w:lang w:val="en-US" w:eastAsia="en-US"/>
        </w:rPr>
        <w:drawing>
          <wp:inline distT="0" distB="0" distL="0" distR="0">
            <wp:extent cx="3748405" cy="164668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edit_19_7978385755.png"/>
                    <pic:cNvPicPr/>
                  </pic:nvPicPr>
                  <pic:blipFill>
                    <a:blip r:embed="rId10">
                      <a:extLst>
                        <a:ext uri="{28A0092B-C50C-407E-A947-70E740481C1C}">
                          <a14:useLocalDpi xmlns:a14="http://schemas.microsoft.com/office/drawing/2010/main" val="0"/>
                        </a:ext>
                      </a:extLst>
                    </a:blip>
                    <a:stretch>
                      <a:fillRect/>
                    </a:stretch>
                  </pic:blipFill>
                  <pic:spPr>
                    <a:xfrm>
                      <a:off x="0" y="0"/>
                      <a:ext cx="3787955" cy="1664059"/>
                    </a:xfrm>
                    <a:prstGeom prst="rect">
                      <a:avLst/>
                    </a:prstGeom>
                  </pic:spPr>
                </pic:pic>
              </a:graphicData>
            </a:graphic>
          </wp:inline>
        </w:drawing>
      </w:r>
    </w:p>
    <w:p w:rsidR="00FA0BEC" w:rsidRDefault="00FA0BEC" w:rsidP="00FA0BEC">
      <w:pPr>
        <w:pBdr>
          <w:top w:val="nil"/>
          <w:left w:val="nil"/>
          <w:bottom w:val="nil"/>
          <w:right w:val="nil"/>
          <w:between w:val="nil"/>
        </w:pBdr>
        <w:jc w:val="center"/>
        <w:rPr>
          <w:color w:val="000000"/>
          <w:sz w:val="24"/>
          <w:szCs w:val="24"/>
        </w:rPr>
      </w:pPr>
      <w:r>
        <w:rPr>
          <w:color w:val="000000"/>
          <w:sz w:val="24"/>
          <w:szCs w:val="24"/>
        </w:rPr>
        <w:t xml:space="preserve">Рис. 2 - </w:t>
      </w:r>
      <w:r w:rsidR="00E8007A" w:rsidRPr="00E8007A">
        <w:rPr>
          <w:color w:val="000000"/>
          <w:sz w:val="24"/>
          <w:szCs w:val="24"/>
        </w:rPr>
        <w:t xml:space="preserve">Порівняння фактичних даних і прогнозу </w:t>
      </w:r>
      <w:r w:rsidR="00E8007A">
        <w:rPr>
          <w:color w:val="000000"/>
          <w:sz w:val="24"/>
          <w:szCs w:val="24"/>
        </w:rPr>
        <w:t>курсу</w:t>
      </w:r>
      <w:r w:rsidR="00E8007A" w:rsidRPr="00E8007A">
        <w:rPr>
          <w:color w:val="000000"/>
          <w:sz w:val="24"/>
          <w:szCs w:val="24"/>
        </w:rPr>
        <w:t xml:space="preserve"> Bitcoin</w:t>
      </w:r>
    </w:p>
    <w:p w:rsidR="0084678D" w:rsidRPr="00623987" w:rsidRDefault="0084678D" w:rsidP="000446FE">
      <w:pPr>
        <w:pBdr>
          <w:top w:val="nil"/>
          <w:left w:val="nil"/>
          <w:bottom w:val="nil"/>
          <w:right w:val="nil"/>
          <w:between w:val="nil"/>
        </w:pBdr>
        <w:rPr>
          <w:color w:val="000000"/>
          <w:sz w:val="24"/>
          <w:szCs w:val="24"/>
        </w:rPr>
      </w:pPr>
    </w:p>
    <w:p w:rsidR="00BC165A" w:rsidRPr="00623987" w:rsidRDefault="00BC165A" w:rsidP="00623987">
      <w:pPr>
        <w:pBdr>
          <w:top w:val="nil"/>
          <w:left w:val="nil"/>
          <w:bottom w:val="nil"/>
          <w:right w:val="nil"/>
          <w:between w:val="nil"/>
        </w:pBdr>
        <w:jc w:val="both"/>
        <w:rPr>
          <w:color w:val="000000"/>
          <w:sz w:val="24"/>
          <w:szCs w:val="24"/>
        </w:rPr>
      </w:pPr>
    </w:p>
    <w:p w:rsidR="00623987" w:rsidRDefault="0052445A" w:rsidP="007E372C">
      <w:pPr>
        <w:pBdr>
          <w:top w:val="nil"/>
          <w:left w:val="nil"/>
          <w:bottom w:val="nil"/>
          <w:right w:val="nil"/>
          <w:between w:val="nil"/>
        </w:pBdr>
        <w:ind w:firstLine="426"/>
        <w:jc w:val="both"/>
        <w:rPr>
          <w:color w:val="000000"/>
          <w:sz w:val="24"/>
          <w:szCs w:val="24"/>
        </w:rPr>
      </w:pPr>
      <w:r>
        <w:rPr>
          <w:color w:val="000000"/>
          <w:sz w:val="24"/>
          <w:szCs w:val="24"/>
        </w:rPr>
        <w:t>В ході</w:t>
      </w:r>
      <w:r w:rsidR="00623987" w:rsidRPr="00623987">
        <w:rPr>
          <w:color w:val="000000"/>
          <w:sz w:val="24"/>
          <w:szCs w:val="24"/>
        </w:rPr>
        <w:t xml:space="preserve"> дослідженн</w:t>
      </w:r>
      <w:r>
        <w:rPr>
          <w:color w:val="000000"/>
          <w:sz w:val="24"/>
          <w:szCs w:val="24"/>
        </w:rPr>
        <w:t>я</w:t>
      </w:r>
      <w:r w:rsidR="00623987" w:rsidRPr="00623987">
        <w:rPr>
          <w:color w:val="000000"/>
          <w:sz w:val="24"/>
          <w:szCs w:val="24"/>
        </w:rPr>
        <w:t xml:space="preserve"> </w:t>
      </w:r>
      <w:r>
        <w:rPr>
          <w:color w:val="000000"/>
          <w:sz w:val="24"/>
          <w:szCs w:val="24"/>
        </w:rPr>
        <w:t>було розглянуто</w:t>
      </w:r>
      <w:r w:rsidR="00623987" w:rsidRPr="00623987">
        <w:rPr>
          <w:color w:val="000000"/>
          <w:sz w:val="24"/>
          <w:szCs w:val="24"/>
        </w:rPr>
        <w:t xml:space="preserve"> гібридну модель GRU Bi-LSTM для покращення прогнозування </w:t>
      </w:r>
      <w:r>
        <w:rPr>
          <w:color w:val="000000"/>
          <w:sz w:val="24"/>
          <w:szCs w:val="24"/>
        </w:rPr>
        <w:t xml:space="preserve">курсу </w:t>
      </w:r>
      <w:r w:rsidR="00623987" w:rsidRPr="00623987">
        <w:rPr>
          <w:color w:val="000000"/>
          <w:sz w:val="24"/>
          <w:szCs w:val="24"/>
        </w:rPr>
        <w:t>криптовалют.</w:t>
      </w:r>
      <w:r>
        <w:rPr>
          <w:color w:val="000000"/>
          <w:sz w:val="24"/>
          <w:szCs w:val="24"/>
        </w:rPr>
        <w:t xml:space="preserve"> </w:t>
      </w:r>
      <w:r w:rsidR="00623987" w:rsidRPr="00623987">
        <w:rPr>
          <w:color w:val="000000"/>
          <w:sz w:val="24"/>
          <w:szCs w:val="24"/>
        </w:rPr>
        <w:t xml:space="preserve">Запропонована модель дала </w:t>
      </w:r>
      <w:r w:rsidR="0084678D">
        <w:rPr>
          <w:color w:val="000000"/>
          <w:sz w:val="24"/>
          <w:szCs w:val="24"/>
        </w:rPr>
        <w:t>значно кращі</w:t>
      </w:r>
      <w:r w:rsidR="00623987" w:rsidRPr="00623987">
        <w:rPr>
          <w:color w:val="000000"/>
          <w:sz w:val="24"/>
          <w:szCs w:val="24"/>
        </w:rPr>
        <w:t xml:space="preserve"> результати</w:t>
      </w:r>
      <w:r w:rsidR="0084678D">
        <w:rPr>
          <w:color w:val="000000"/>
          <w:sz w:val="24"/>
          <w:szCs w:val="24"/>
        </w:rPr>
        <w:t>, у</w:t>
      </w:r>
      <w:r>
        <w:rPr>
          <w:color w:val="000000"/>
          <w:sz w:val="24"/>
          <w:szCs w:val="24"/>
        </w:rPr>
        <w:t xml:space="preserve"> порівнянні зі звичайним </w:t>
      </w:r>
      <w:r w:rsidRPr="00623987">
        <w:rPr>
          <w:color w:val="000000"/>
          <w:sz w:val="24"/>
          <w:szCs w:val="24"/>
        </w:rPr>
        <w:t>LSTM</w:t>
      </w:r>
      <w:r w:rsidR="00623987" w:rsidRPr="00623987">
        <w:rPr>
          <w:color w:val="000000"/>
          <w:sz w:val="24"/>
          <w:szCs w:val="24"/>
        </w:rPr>
        <w:t>. У</w:t>
      </w:r>
      <w:r>
        <w:rPr>
          <w:color w:val="000000"/>
          <w:sz w:val="24"/>
          <w:szCs w:val="24"/>
        </w:rPr>
        <w:t xml:space="preserve"> </w:t>
      </w:r>
      <w:r w:rsidR="00623987" w:rsidRPr="00623987">
        <w:rPr>
          <w:color w:val="000000"/>
          <w:sz w:val="24"/>
          <w:szCs w:val="24"/>
        </w:rPr>
        <w:t xml:space="preserve">дослідженні було застосовано кілька підходів для прогнозування </w:t>
      </w:r>
      <w:r>
        <w:rPr>
          <w:color w:val="000000"/>
          <w:sz w:val="24"/>
          <w:szCs w:val="24"/>
        </w:rPr>
        <w:t>курсу</w:t>
      </w:r>
      <w:r w:rsidR="00623987" w:rsidRPr="00623987">
        <w:rPr>
          <w:color w:val="000000"/>
          <w:sz w:val="24"/>
          <w:szCs w:val="24"/>
        </w:rPr>
        <w:t xml:space="preserve"> криптовалют з використанням історичних даних, отриманих </w:t>
      </w:r>
      <w:r>
        <w:rPr>
          <w:color w:val="000000"/>
          <w:sz w:val="24"/>
          <w:szCs w:val="24"/>
        </w:rPr>
        <w:t>за допомогою</w:t>
      </w:r>
      <w:r w:rsidR="00623987" w:rsidRPr="00623987">
        <w:rPr>
          <w:color w:val="000000"/>
          <w:sz w:val="24"/>
          <w:szCs w:val="24"/>
        </w:rPr>
        <w:t xml:space="preserve"> </w:t>
      </w:r>
      <w:r>
        <w:rPr>
          <w:color w:val="000000"/>
          <w:sz w:val="24"/>
          <w:szCs w:val="24"/>
          <w:lang w:val="en-US"/>
        </w:rPr>
        <w:t>Binance</w:t>
      </w:r>
      <w:r w:rsidRPr="0084678D">
        <w:rPr>
          <w:color w:val="000000"/>
          <w:sz w:val="24"/>
          <w:szCs w:val="24"/>
        </w:rPr>
        <w:t xml:space="preserve"> </w:t>
      </w:r>
      <w:r>
        <w:rPr>
          <w:color w:val="000000"/>
          <w:sz w:val="24"/>
          <w:szCs w:val="24"/>
          <w:lang w:val="en-US"/>
        </w:rPr>
        <w:t>API</w:t>
      </w:r>
      <w:r w:rsidR="00623987" w:rsidRPr="00623987">
        <w:rPr>
          <w:color w:val="000000"/>
          <w:sz w:val="24"/>
          <w:szCs w:val="24"/>
        </w:rPr>
        <w:t xml:space="preserve"> за </w:t>
      </w:r>
      <w:r w:rsidRPr="0084678D">
        <w:rPr>
          <w:color w:val="000000"/>
          <w:sz w:val="24"/>
          <w:szCs w:val="24"/>
        </w:rPr>
        <w:t>3</w:t>
      </w:r>
      <w:r w:rsidR="00623987" w:rsidRPr="00623987">
        <w:rPr>
          <w:color w:val="000000"/>
          <w:sz w:val="24"/>
          <w:szCs w:val="24"/>
        </w:rPr>
        <w:t xml:space="preserve"> рок</w:t>
      </w:r>
      <w:r>
        <w:rPr>
          <w:color w:val="000000"/>
          <w:sz w:val="24"/>
          <w:szCs w:val="24"/>
        </w:rPr>
        <w:t>и</w:t>
      </w:r>
      <w:r w:rsidR="00623987" w:rsidRPr="00623987">
        <w:rPr>
          <w:color w:val="000000"/>
          <w:sz w:val="24"/>
          <w:szCs w:val="24"/>
        </w:rPr>
        <w:t xml:space="preserve">. Чотири </w:t>
      </w:r>
      <w:r>
        <w:rPr>
          <w:color w:val="000000"/>
          <w:sz w:val="24"/>
          <w:szCs w:val="24"/>
        </w:rPr>
        <w:t>монети (</w:t>
      </w:r>
      <w:r w:rsidR="00623987" w:rsidRPr="00623987">
        <w:rPr>
          <w:color w:val="000000"/>
          <w:sz w:val="24"/>
          <w:szCs w:val="24"/>
        </w:rPr>
        <w:t>Bitcoin, Ripple, Binance та Ethereum</w:t>
      </w:r>
      <w:r>
        <w:rPr>
          <w:color w:val="000000"/>
          <w:sz w:val="24"/>
          <w:szCs w:val="24"/>
        </w:rPr>
        <w:t>)</w:t>
      </w:r>
      <w:r w:rsidR="00623987" w:rsidRPr="00623987">
        <w:rPr>
          <w:color w:val="000000"/>
          <w:sz w:val="24"/>
          <w:szCs w:val="24"/>
        </w:rPr>
        <w:t xml:space="preserve"> були використані для перевірки точності запропонованої моделі щодо забезпечення оптимальних результатів. </w:t>
      </w:r>
      <w:r>
        <w:rPr>
          <w:color w:val="000000"/>
          <w:sz w:val="24"/>
          <w:szCs w:val="24"/>
        </w:rPr>
        <w:t xml:space="preserve">Завданням для наступних досліджень є покращення точності прогнозування за рахунок додання в модель нових даних, </w:t>
      </w:r>
      <w:r>
        <w:rPr>
          <w:color w:val="000000"/>
          <w:sz w:val="24"/>
          <w:szCs w:val="24"/>
        </w:rPr>
        <w:lastRenderedPageBreak/>
        <w:t>таких як політичні настрої, природні умови і т.д. з зовнішніх джерел інформації.</w:t>
      </w:r>
    </w:p>
    <w:p w:rsidR="00E8007A" w:rsidRDefault="00E8007A" w:rsidP="0052445A">
      <w:pPr>
        <w:pBdr>
          <w:top w:val="nil"/>
          <w:left w:val="nil"/>
          <w:bottom w:val="nil"/>
          <w:right w:val="nil"/>
          <w:between w:val="nil"/>
        </w:pBdr>
        <w:ind w:firstLine="709"/>
        <w:jc w:val="both"/>
        <w:rPr>
          <w:color w:val="000000"/>
          <w:sz w:val="24"/>
          <w:szCs w:val="24"/>
        </w:rPr>
      </w:pPr>
    </w:p>
    <w:p w:rsidR="00E8007A" w:rsidRDefault="00E8007A" w:rsidP="00E8007A">
      <w:pPr>
        <w:pBdr>
          <w:top w:val="nil"/>
          <w:left w:val="nil"/>
          <w:bottom w:val="nil"/>
          <w:right w:val="nil"/>
          <w:between w:val="nil"/>
        </w:pBdr>
        <w:ind w:firstLine="709"/>
        <w:jc w:val="center"/>
        <w:rPr>
          <w:b/>
          <w:color w:val="000000"/>
          <w:sz w:val="24"/>
          <w:szCs w:val="24"/>
        </w:rPr>
      </w:pPr>
      <w:r w:rsidRPr="00E8007A">
        <w:rPr>
          <w:b/>
          <w:color w:val="000000"/>
          <w:sz w:val="24"/>
          <w:szCs w:val="24"/>
        </w:rPr>
        <w:t>Список використаних джерел:</w:t>
      </w:r>
    </w:p>
    <w:p w:rsidR="00E8007A" w:rsidRPr="00E8007A" w:rsidRDefault="00E8007A" w:rsidP="00E8007A">
      <w:pPr>
        <w:pBdr>
          <w:top w:val="nil"/>
          <w:left w:val="nil"/>
          <w:bottom w:val="nil"/>
          <w:right w:val="nil"/>
          <w:between w:val="nil"/>
        </w:pBdr>
        <w:ind w:firstLine="709"/>
        <w:jc w:val="center"/>
        <w:rPr>
          <w:b/>
          <w:color w:val="000000"/>
          <w:sz w:val="24"/>
          <w:szCs w:val="24"/>
        </w:rPr>
      </w:pPr>
    </w:p>
    <w:p w:rsidR="00E8007A" w:rsidRPr="00E8007A"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U. Mukhopadhyay, A. Skjellum, O. Hambolu, J. Oakley, L. Yu, and R. Brooks, “A brief survey of cryptocurrency systems,” 2016 14th Annual Conference on Privacy, Security and Trust, PST 2016, pp. 745–752, 2016, doi: 10.1109/PST.2016.7906988.</w:t>
      </w:r>
    </w:p>
    <w:p w:rsidR="00E8007A" w:rsidRPr="00E8007A"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E. Pintelas, I. E. Livieris, S. Stavroyiannis, T. Kotsilieris, and P. Pintelas, “Investigating the problem of cryptocurrency price prediction: a deep learning approach,” IFIP Advances in Information and Communication Technology, vol. 584 IFIP, pp. 99–110, 2020, doi: 10.1007/978-3-030-49186-4_9.</w:t>
      </w:r>
    </w:p>
    <w:p w:rsidR="00E8007A" w:rsidRPr="00E8007A"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J. Eapen, D. Bein, and A. Verma, “Novel deep learning model with CNN and bi-directional LSTM for improved stock market index prediction,” in 2019 IEEE 9th Annual Computing and Communication Workshop and Conference, CCWC 2019, 2019, pp. 264–270, doi: 10.1109/CCWC.2019.8666592.</w:t>
      </w:r>
    </w:p>
    <w:p w:rsidR="00623987" w:rsidRPr="00E8007A"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V. B. Kamble and S. N. Deshmukh, “Comparision between accuracy and MSE, RMSE by using proposed method with imputation technique,” Oriental journal of computer science and technology, vol. 10, no. 04, pp. 773–779, 2017, doi: 10.13005/ojcst/10.04.11.</w:t>
      </w:r>
    </w:p>
    <w:p w:rsidR="00E8007A" w:rsidRPr="00E8007A"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M. De Caux, F. Bernardini, and J. Viterbo, “Short-term forecasting in Bitcoin time series using LSTM and GRU RNNs,” in Anais do VIII Symposium on Knowledge Discovery, Mining and Learning, SBC, 2020, pp. 97–104.</w:t>
      </w:r>
    </w:p>
    <w:p w:rsidR="00960922" w:rsidRDefault="00E8007A" w:rsidP="007E372C">
      <w:pPr>
        <w:pStyle w:val="a5"/>
        <w:numPr>
          <w:ilvl w:val="0"/>
          <w:numId w:val="1"/>
        </w:numPr>
        <w:pBdr>
          <w:top w:val="nil"/>
          <w:left w:val="nil"/>
          <w:bottom w:val="nil"/>
          <w:right w:val="nil"/>
          <w:between w:val="nil"/>
        </w:pBdr>
        <w:tabs>
          <w:tab w:val="left" w:pos="284"/>
        </w:tabs>
        <w:ind w:left="0" w:firstLine="0"/>
        <w:jc w:val="both"/>
        <w:rPr>
          <w:color w:val="000000"/>
          <w:sz w:val="24"/>
          <w:szCs w:val="24"/>
        </w:rPr>
      </w:pPr>
      <w:r w:rsidRPr="00E8007A">
        <w:rPr>
          <w:color w:val="000000"/>
          <w:sz w:val="24"/>
          <w:szCs w:val="24"/>
        </w:rPr>
        <w:t>T. O. Hodson, “Root-mean-square error (RMSE) or mean absolute error (MAE): when to use them or not,” Geoscientific Model Development, vol. 15, no. 14, pp. 5481–5487, Jul. 2022, doi: 10.5194/gmd-15-5481-2022.</w:t>
      </w:r>
    </w:p>
    <w:p w:rsidR="00D85066" w:rsidRPr="00D85066" w:rsidRDefault="00D85066" w:rsidP="007E372C">
      <w:pPr>
        <w:pStyle w:val="a5"/>
        <w:numPr>
          <w:ilvl w:val="0"/>
          <w:numId w:val="1"/>
        </w:numPr>
        <w:pBdr>
          <w:top w:val="nil"/>
          <w:left w:val="nil"/>
          <w:bottom w:val="nil"/>
          <w:right w:val="nil"/>
          <w:between w:val="nil"/>
        </w:pBdr>
        <w:tabs>
          <w:tab w:val="left" w:pos="426"/>
        </w:tabs>
        <w:ind w:left="0" w:firstLine="0"/>
        <w:jc w:val="both"/>
        <w:rPr>
          <w:color w:val="000000"/>
          <w:sz w:val="24"/>
          <w:szCs w:val="24"/>
        </w:rPr>
      </w:pPr>
      <w:r w:rsidRPr="00D85066">
        <w:rPr>
          <w:color w:val="000000"/>
          <w:sz w:val="24"/>
          <w:szCs w:val="24"/>
        </w:rPr>
        <w:lastRenderedPageBreak/>
        <w:t>Tavakoli, N. (2019). Modeling Genome Data Using Bidirectional LSTM. 2019 IEEE 43rd Annual Computer Software and Applications Conference (COMPSAC), 2, 183</w:t>
      </w:r>
      <w:r>
        <w:rPr>
          <w:color w:val="000000"/>
          <w:sz w:val="24"/>
          <w:szCs w:val="24"/>
          <w:lang w:val="en-US"/>
        </w:rPr>
        <w:t>.</w:t>
      </w:r>
    </w:p>
    <w:p w:rsidR="009A1AA1" w:rsidRPr="00623987" w:rsidRDefault="009A1AA1" w:rsidP="0052445A">
      <w:pPr>
        <w:ind w:firstLine="709"/>
        <w:jc w:val="both"/>
        <w:rPr>
          <w:sz w:val="24"/>
          <w:szCs w:val="24"/>
        </w:rPr>
      </w:pPr>
    </w:p>
    <w:sectPr w:rsidR="009A1AA1" w:rsidRPr="00623987" w:rsidSect="007E372C">
      <w:pgSz w:w="8391" w:h="11906"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48" w:rsidRDefault="00956A48" w:rsidP="00275C87">
      <w:r>
        <w:separator/>
      </w:r>
    </w:p>
  </w:endnote>
  <w:endnote w:type="continuationSeparator" w:id="0">
    <w:p w:rsidR="00956A48" w:rsidRDefault="00956A48" w:rsidP="0027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48" w:rsidRDefault="00956A48" w:rsidP="00275C87">
      <w:r>
        <w:separator/>
      </w:r>
    </w:p>
  </w:footnote>
  <w:footnote w:type="continuationSeparator" w:id="0">
    <w:p w:rsidR="00956A48" w:rsidRDefault="00956A48" w:rsidP="0027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5EA"/>
    <w:multiLevelType w:val="hybridMultilevel"/>
    <w:tmpl w:val="D1903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22"/>
    <w:rsid w:val="000446FE"/>
    <w:rsid w:val="00275C87"/>
    <w:rsid w:val="003331B9"/>
    <w:rsid w:val="0052445A"/>
    <w:rsid w:val="00561DB5"/>
    <w:rsid w:val="00623987"/>
    <w:rsid w:val="006429F2"/>
    <w:rsid w:val="007E372C"/>
    <w:rsid w:val="0084678D"/>
    <w:rsid w:val="00956A48"/>
    <w:rsid w:val="00960922"/>
    <w:rsid w:val="009A1AA1"/>
    <w:rsid w:val="009E72E0"/>
    <w:rsid w:val="00A84D84"/>
    <w:rsid w:val="00B10FBF"/>
    <w:rsid w:val="00BC165A"/>
    <w:rsid w:val="00CB5C24"/>
    <w:rsid w:val="00D85066"/>
    <w:rsid w:val="00E8007A"/>
    <w:rsid w:val="00FA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49DDA-AD12-41BD-AA40-A05E07B5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092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922"/>
    <w:rPr>
      <w:color w:val="0563C1" w:themeColor="hyperlink"/>
      <w:u w:val="single"/>
    </w:rPr>
  </w:style>
  <w:style w:type="character" w:customStyle="1" w:styleId="1">
    <w:name w:val="Неразрешенное упоминание1"/>
    <w:basedOn w:val="a0"/>
    <w:uiPriority w:val="99"/>
    <w:semiHidden/>
    <w:unhideWhenUsed/>
    <w:rsid w:val="00960922"/>
    <w:rPr>
      <w:color w:val="605E5C"/>
      <w:shd w:val="clear" w:color="auto" w:fill="E1DFDD"/>
    </w:rPr>
  </w:style>
  <w:style w:type="table" w:styleId="a4">
    <w:name w:val="Table Grid"/>
    <w:basedOn w:val="a1"/>
    <w:uiPriority w:val="39"/>
    <w:rsid w:val="00FA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BE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8007A"/>
    <w:pPr>
      <w:ind w:left="720"/>
      <w:contextualSpacing/>
    </w:pPr>
  </w:style>
  <w:style w:type="paragraph" w:styleId="a6">
    <w:name w:val="Balloon Text"/>
    <w:basedOn w:val="a"/>
    <w:link w:val="a7"/>
    <w:uiPriority w:val="99"/>
    <w:semiHidden/>
    <w:unhideWhenUsed/>
    <w:rsid w:val="0084678D"/>
    <w:rPr>
      <w:rFonts w:ascii="Tahoma" w:hAnsi="Tahoma" w:cs="Tahoma"/>
      <w:sz w:val="16"/>
      <w:szCs w:val="16"/>
    </w:rPr>
  </w:style>
  <w:style w:type="character" w:customStyle="1" w:styleId="a7">
    <w:name w:val="Текст у виносці Знак"/>
    <w:basedOn w:val="a0"/>
    <w:link w:val="a6"/>
    <w:uiPriority w:val="99"/>
    <w:semiHidden/>
    <w:rsid w:val="0084678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erentiev@gmail.com" TargetMode="External"/><Relationship Id="rId3" Type="http://schemas.openxmlformats.org/officeDocument/2006/relationships/settings" Target="settings.xml"/><Relationship Id="rId7" Type="http://schemas.openxmlformats.org/officeDocument/2006/relationships/hyperlink" Target="mailto:yayatska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4641</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Yatsko</dc:creator>
  <cp:keywords/>
  <dc:description/>
  <cp:lastModifiedBy>larysa</cp:lastModifiedBy>
  <cp:revision>2</cp:revision>
  <dcterms:created xsi:type="dcterms:W3CDTF">2022-11-08T15:45:00Z</dcterms:created>
  <dcterms:modified xsi:type="dcterms:W3CDTF">2022-11-08T15:45:00Z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2022-11-07T08:48:47Z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3514bb88-1a3d-4646-ae8a-41b9499a05f7</vt:lpwstr>
  </property>
  <property fmtid="{D5CDD505-2E9C-101B-9397-08002B2CF9AE}" pid="8" name="MSIP_Label_5bf4bb52-9e9d-4296-940a-59002820a53c_ContentBits">
    <vt:lpwstr>0</vt:lpwstr>
  </property>
</Properties>
</file>