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B2" w:rsidRPr="00573210" w:rsidRDefault="006272B2" w:rsidP="00573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573210">
        <w:rPr>
          <w:rFonts w:ascii="Times New Roman" w:hAnsi="Times New Roman"/>
          <w:sz w:val="24"/>
          <w:szCs w:val="24"/>
          <w:lang w:val="uk-UA"/>
        </w:rPr>
        <w:t>УДК 528.94</w:t>
      </w:r>
    </w:p>
    <w:p w:rsidR="00876B81" w:rsidRPr="00573210" w:rsidRDefault="00876B81" w:rsidP="00346787">
      <w:pPr>
        <w:pStyle w:val="a4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3210">
        <w:rPr>
          <w:rFonts w:ascii="Times New Roman" w:hAnsi="Times New Roman"/>
          <w:b/>
          <w:sz w:val="24"/>
          <w:szCs w:val="24"/>
        </w:rPr>
        <w:t>Розроблення інформаційних технологій моніторингу надзвичайних екологічних ситуацій на основі супутникових даних</w:t>
      </w:r>
    </w:p>
    <w:p w:rsidR="00876B81" w:rsidRPr="00573210" w:rsidRDefault="00876B81" w:rsidP="00573210">
      <w:pPr>
        <w:spacing w:after="0" w:line="240" w:lineRule="auto"/>
        <w:ind w:left="4395" w:hanging="4395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573210">
        <w:rPr>
          <w:rFonts w:ascii="Times New Roman" w:hAnsi="Times New Roman"/>
          <w:b/>
          <w:i/>
          <w:sz w:val="24"/>
          <w:szCs w:val="24"/>
          <w:lang w:val="uk-UA" w:eastAsia="en-US"/>
        </w:rPr>
        <w:t>Довгий С.О.,Трофимчук О.М</w:t>
      </w:r>
      <w:r w:rsidR="000B6EAC" w:rsidRPr="00573210">
        <w:rPr>
          <w:rFonts w:ascii="Times New Roman" w:hAnsi="Times New Roman"/>
          <w:b/>
          <w:i/>
          <w:sz w:val="24"/>
          <w:szCs w:val="24"/>
          <w:lang w:val="uk-UA" w:eastAsia="en-US"/>
        </w:rPr>
        <w:t>.</w:t>
      </w:r>
      <w:r w:rsidRPr="00573210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, Триснюк </w:t>
      </w:r>
      <w:r w:rsidR="000B6EAC" w:rsidRPr="00573210">
        <w:rPr>
          <w:rFonts w:ascii="Times New Roman" w:hAnsi="Times New Roman"/>
          <w:b/>
          <w:i/>
          <w:sz w:val="24"/>
          <w:szCs w:val="24"/>
          <w:lang w:val="uk-UA" w:eastAsia="en-US"/>
        </w:rPr>
        <w:t>В.</w:t>
      </w:r>
      <w:r w:rsidRPr="00573210">
        <w:rPr>
          <w:rFonts w:ascii="Times New Roman" w:hAnsi="Times New Roman"/>
          <w:b/>
          <w:i/>
          <w:sz w:val="24"/>
          <w:szCs w:val="24"/>
          <w:lang w:val="uk-UA" w:eastAsia="en-US"/>
        </w:rPr>
        <w:t>М.,</w:t>
      </w:r>
    </w:p>
    <w:p w:rsidR="006272B2" w:rsidRPr="00573210" w:rsidRDefault="00876B81" w:rsidP="00573210">
      <w:pPr>
        <w:spacing w:after="0" w:line="240" w:lineRule="auto"/>
        <w:ind w:left="4395" w:hanging="4395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573210">
        <w:rPr>
          <w:rFonts w:ascii="Times New Roman" w:hAnsi="Times New Roman"/>
          <w:b/>
          <w:i/>
          <w:sz w:val="24"/>
          <w:szCs w:val="24"/>
          <w:lang w:val="uk-UA" w:eastAsia="en-US"/>
        </w:rPr>
        <w:t>Горошкова Л.А., Хлобистов</w:t>
      </w:r>
      <w:r w:rsidR="00224DCF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</w:t>
      </w:r>
      <w:r w:rsidRPr="00573210">
        <w:rPr>
          <w:rFonts w:ascii="Times New Roman" w:hAnsi="Times New Roman"/>
          <w:b/>
          <w:i/>
          <w:sz w:val="24"/>
          <w:szCs w:val="24"/>
          <w:lang w:val="uk-UA" w:eastAsia="en-US"/>
        </w:rPr>
        <w:t>Є.В.</w:t>
      </w:r>
    </w:p>
    <w:p w:rsidR="000B6EAC" w:rsidRPr="00E71FF8" w:rsidRDefault="006272B2" w:rsidP="00573210">
      <w:pPr>
        <w:spacing w:after="0" w:line="240" w:lineRule="auto"/>
        <w:ind w:hanging="21"/>
        <w:jc w:val="center"/>
        <w:rPr>
          <w:rFonts w:ascii="Times New Roman" w:hAnsi="Times New Roman"/>
          <w:i/>
          <w:sz w:val="24"/>
          <w:szCs w:val="24"/>
          <w:lang w:val="uk-UA" w:eastAsia="en-US"/>
        </w:rPr>
      </w:pPr>
      <w:r w:rsidRPr="00E71FF8">
        <w:rPr>
          <w:rFonts w:ascii="Times New Roman" w:hAnsi="Times New Roman"/>
          <w:i/>
          <w:sz w:val="24"/>
          <w:szCs w:val="24"/>
          <w:lang w:val="uk-UA" w:eastAsia="en-US"/>
        </w:rPr>
        <w:t xml:space="preserve">Інститут телекомунікацій та глобального інформаційного простору НАН України, м. Київ. </w:t>
      </w:r>
    </w:p>
    <w:p w:rsidR="006272B2" w:rsidRPr="00E71FF8" w:rsidRDefault="006272B2" w:rsidP="00573210">
      <w:pPr>
        <w:spacing w:after="0" w:line="240" w:lineRule="auto"/>
        <w:ind w:hanging="21"/>
        <w:jc w:val="center"/>
        <w:rPr>
          <w:rFonts w:ascii="Times New Roman" w:hAnsi="Times New Roman"/>
          <w:i/>
          <w:sz w:val="24"/>
          <w:szCs w:val="24"/>
          <w:lang w:val="en-US" w:eastAsia="en-US"/>
        </w:rPr>
      </w:pPr>
      <w:r w:rsidRPr="00E71FF8">
        <w:rPr>
          <w:rFonts w:ascii="Times New Roman" w:hAnsi="Times New Roman"/>
          <w:i/>
          <w:sz w:val="24"/>
          <w:szCs w:val="24"/>
          <w:lang w:val="uk-UA" w:eastAsia="en-US"/>
        </w:rPr>
        <w:t>E - mail:</w:t>
      </w:r>
      <w:r w:rsidR="000B6EAC" w:rsidRPr="00E71FF8">
        <w:rPr>
          <w:rFonts w:ascii="Times New Roman" w:hAnsi="Times New Roman"/>
          <w:i/>
          <w:sz w:val="24"/>
          <w:szCs w:val="24"/>
          <w:lang w:val="uk-UA" w:eastAsia="en-US"/>
        </w:rPr>
        <w:t xml:space="preserve"> </w:t>
      </w:r>
      <w:hyperlink r:id="rId6" w:history="1">
        <w:r w:rsidR="00876B81" w:rsidRPr="00E71FF8">
          <w:rPr>
            <w:rStyle w:val="a6"/>
            <w:rFonts w:ascii="Times New Roman" w:hAnsi="Times New Roman"/>
            <w:i/>
            <w:sz w:val="24"/>
            <w:szCs w:val="24"/>
            <w:lang w:val="en-US" w:eastAsia="en-US"/>
          </w:rPr>
          <w:t>trysnyuk@ukr.net</w:t>
        </w:r>
      </w:hyperlink>
    </w:p>
    <w:p w:rsidR="00280047" w:rsidRPr="00573210" w:rsidRDefault="00E71FF8" w:rsidP="00573210">
      <w:pPr>
        <w:pStyle w:val="Default"/>
        <w:jc w:val="both"/>
        <w:rPr>
          <w:color w:val="auto"/>
          <w:lang w:val="uk-UA"/>
        </w:rPr>
      </w:pPr>
      <w:r>
        <w:rPr>
          <w:lang w:val="uk-UA"/>
        </w:rPr>
        <w:t xml:space="preserve"> </w:t>
      </w:r>
      <w:r w:rsidRPr="00E71FF8">
        <w:rPr>
          <w:b/>
          <w:i/>
          <w:lang w:val="uk-UA"/>
        </w:rPr>
        <w:t>Анотація.</w:t>
      </w:r>
      <w:r>
        <w:rPr>
          <w:lang w:val="uk-UA"/>
        </w:rPr>
        <w:t xml:space="preserve"> </w:t>
      </w:r>
      <w:r w:rsidR="00876B81" w:rsidRPr="00573210">
        <w:rPr>
          <w:lang w:val="uk-UA"/>
        </w:rPr>
        <w:t>Розроблені та впроваджені нові методи комплексного аналізу аерокосмічних і наземних спостережень різних регіоні</w:t>
      </w:r>
      <w:r w:rsidR="004E1F44">
        <w:rPr>
          <w:lang w:val="uk-UA"/>
        </w:rPr>
        <w:t>в, у т.ч. промислових комплексах</w:t>
      </w:r>
      <w:r w:rsidR="00876B81" w:rsidRPr="00573210">
        <w:rPr>
          <w:lang w:val="uk-UA"/>
        </w:rPr>
        <w:t xml:space="preserve"> великих міст та міських</w:t>
      </w:r>
      <w:r w:rsidR="004E1F44">
        <w:rPr>
          <w:lang w:val="uk-UA"/>
        </w:rPr>
        <w:t xml:space="preserve"> агломерацій, територіальних громадах</w:t>
      </w:r>
      <w:r w:rsidR="00876B81" w:rsidRPr="00573210">
        <w:rPr>
          <w:lang w:val="uk-UA"/>
        </w:rPr>
        <w:t>Г.</w:t>
      </w:r>
      <w:r w:rsidR="00280047" w:rsidRPr="00573210">
        <w:rPr>
          <w:lang w:val="uk-UA"/>
        </w:rPr>
        <w:t xml:space="preserve"> </w:t>
      </w:r>
      <w:r w:rsidR="00280047" w:rsidRPr="00573210">
        <w:rPr>
          <w:color w:val="auto"/>
          <w:lang w:val="uk-UA"/>
        </w:rPr>
        <w:t>Удосконалено  теоретичні основи інтегрованого аналізу різнорідних та різнорівневих екологічних, геолого-геофізичних, геохімічних даних і багатоканальних аерокосмічних геозображень для комплексного геоекологічного моніторингу надзвичайних ситуацій.</w:t>
      </w:r>
      <w:r w:rsidR="00280047" w:rsidRPr="00573210">
        <w:rPr>
          <w:lang w:val="uk-UA"/>
        </w:rPr>
        <w:t xml:space="preserve"> </w:t>
      </w:r>
      <w:r w:rsidR="00280047" w:rsidRPr="00573210">
        <w:rPr>
          <w:color w:val="auto"/>
          <w:lang w:val="uk-UA"/>
        </w:rPr>
        <w:t xml:space="preserve">.Розглянута  </w:t>
      </w:r>
      <w:r w:rsidR="00280047" w:rsidRPr="00573210">
        <w:rPr>
          <w:color w:val="auto"/>
        </w:rPr>
        <w:t>інтеграція алгоритмів для захисту інформації в системі передачі даних про результати</w:t>
      </w:r>
      <w:r w:rsidR="00280047" w:rsidRPr="00573210">
        <w:rPr>
          <w:color w:val="auto"/>
          <w:lang w:val="uk-UA"/>
        </w:rPr>
        <w:t xml:space="preserve"> </w:t>
      </w:r>
      <w:r w:rsidR="00280047" w:rsidRPr="00573210">
        <w:rPr>
          <w:color w:val="auto"/>
        </w:rPr>
        <w:t>моніторингу надзвичайних ситуацій.</w:t>
      </w:r>
    </w:p>
    <w:p w:rsidR="00876B81" w:rsidRPr="00573210" w:rsidRDefault="00876B81" w:rsidP="004E1F44">
      <w:pPr>
        <w:spacing w:after="0" w:line="240" w:lineRule="auto"/>
        <w:ind w:hanging="21"/>
        <w:rPr>
          <w:rFonts w:ascii="Times New Roman" w:hAnsi="Times New Roman"/>
          <w:b/>
          <w:sz w:val="24"/>
          <w:szCs w:val="24"/>
          <w:lang w:val="uk-UA"/>
        </w:rPr>
      </w:pPr>
      <w:r w:rsidRPr="00E71FF8">
        <w:rPr>
          <w:rStyle w:val="a7"/>
          <w:rFonts w:ascii="Times New Roman" w:hAnsi="Times New Roman"/>
          <w:b/>
          <w:sz w:val="24"/>
          <w:szCs w:val="24"/>
          <w:lang w:val="uk-UA" w:eastAsia="uk-UA"/>
        </w:rPr>
        <w:t>Ключові слова:</w:t>
      </w:r>
      <w:r w:rsidRPr="00573210">
        <w:rPr>
          <w:rFonts w:ascii="Times New Roman" w:hAnsi="Times New Roman"/>
          <w:sz w:val="24"/>
          <w:szCs w:val="24"/>
        </w:rPr>
        <w:t xml:space="preserve"> дистанційне зондування </w:t>
      </w:r>
      <w:r w:rsidR="004E1F44">
        <w:rPr>
          <w:rFonts w:ascii="Times New Roman" w:hAnsi="Times New Roman"/>
          <w:sz w:val="24"/>
          <w:szCs w:val="24"/>
          <w:lang w:val="uk-UA"/>
        </w:rPr>
        <w:t>,З</w:t>
      </w:r>
      <w:r w:rsidRPr="00573210">
        <w:rPr>
          <w:rFonts w:ascii="Times New Roman" w:hAnsi="Times New Roman"/>
          <w:sz w:val="24"/>
          <w:szCs w:val="24"/>
        </w:rPr>
        <w:t>емлі,</w:t>
      </w:r>
      <w:r w:rsidR="004E1F44">
        <w:rPr>
          <w:rFonts w:ascii="Times New Roman" w:hAnsi="Times New Roman"/>
          <w:sz w:val="24"/>
          <w:szCs w:val="24"/>
          <w:lang w:val="uk-UA"/>
        </w:rPr>
        <w:t xml:space="preserve"> моніторин</w:t>
      </w:r>
      <w:r w:rsidR="00280047" w:rsidRPr="00573210">
        <w:rPr>
          <w:rFonts w:ascii="Times New Roman" w:hAnsi="Times New Roman"/>
          <w:sz w:val="24"/>
          <w:szCs w:val="24"/>
          <w:lang w:val="uk-UA"/>
        </w:rPr>
        <w:t>,</w:t>
      </w:r>
      <w:r w:rsidR="004E1F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0047" w:rsidRPr="00573210">
        <w:rPr>
          <w:rFonts w:ascii="Times New Roman" w:hAnsi="Times New Roman"/>
          <w:sz w:val="24"/>
          <w:szCs w:val="24"/>
          <w:lang w:val="uk-UA"/>
        </w:rPr>
        <w:t>надзвичайні ситуації, інтегрований аналіз.аерокосмічні зображення</w:t>
      </w:r>
      <w:r w:rsidR="004E1F44">
        <w:rPr>
          <w:rFonts w:ascii="Times New Roman" w:hAnsi="Times New Roman"/>
          <w:sz w:val="24"/>
          <w:szCs w:val="24"/>
          <w:lang w:val="uk-UA"/>
        </w:rPr>
        <w:t>.</w:t>
      </w:r>
    </w:p>
    <w:p w:rsidR="00E71FF8" w:rsidRDefault="00E71FF8" w:rsidP="005732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55BD" w:rsidRPr="00573210" w:rsidRDefault="007155BD" w:rsidP="00E71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 xml:space="preserve">Як показують події останніх місяців та років, практично вся територія України є зоною природно-техногенного та військового ризику з точки зору виникнення надзвичайних ситуацій військового </w:t>
      </w:r>
      <w:r w:rsidR="00E71FF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природного та техногенного характеру. Отже, актуальним питанням є розроблення нових інформаційно-телекомунікаційних технологій, що дозволять дистанційно та оперативно здійснювати екологічний моніторинг заданого регіону або території та оцінювати загрози й 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ризики виникнення надзвичайної ситуації. </w:t>
      </w:r>
      <w:r w:rsidR="00E71FF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80047" w:rsidRPr="00E71FF8">
        <w:rPr>
          <w:rFonts w:ascii="Times New Roman" w:hAnsi="Times New Roman"/>
          <w:lang w:val="uk-UA"/>
        </w:rPr>
        <w:t>Високий рівень проведення дослідження забезпечений завдяки комплексності, міжнауковості та міждисциплінарності методології побудови динамічної систе</w:t>
      </w:r>
      <w:r w:rsidR="00E71FF8">
        <w:rPr>
          <w:rFonts w:ascii="Times New Roman" w:hAnsi="Times New Roman"/>
          <w:lang w:val="uk-UA"/>
        </w:rPr>
        <w:t>ми моніторингу надзвичайних ситуа</w:t>
      </w:r>
      <w:r w:rsidR="00280047" w:rsidRPr="00E71FF8">
        <w:rPr>
          <w:rFonts w:ascii="Times New Roman" w:hAnsi="Times New Roman"/>
          <w:lang w:val="uk-UA"/>
        </w:rPr>
        <w:t>цій, їх прогнозування та попередження задля забезпечення безпеки та умов сталого розвитку територій і країни загалом. Наукова значущість результатів полягає в тому, що здійснена розробка методів, технологій та засобів створення систем комплексного моніторингу надзвичайних ситуацій для підвищення якості, оперативності, комплексності та ефективності процесів збирання даних спостережень з використанням аерокосмічних і наземних досліджень, оброблення, передавання, збереження та аналізу інформації про стан довкілля, прогнозування його змін і розроблення науково-обґрунтованих рекомендацій для прийняття рішень про запобігання негативним техногенним змінам стану території та дотримання вимог екологічної безпеки.</w:t>
      </w:r>
      <w:r w:rsidR="00E71FF8">
        <w:rPr>
          <w:rFonts w:ascii="Times New Roman" w:hAnsi="Times New Roman"/>
          <w:lang w:val="uk-UA"/>
        </w:rPr>
        <w:t xml:space="preserve"> </w:t>
      </w:r>
      <w:r w:rsidR="00280047" w:rsidRPr="00573210">
        <w:rPr>
          <w:rFonts w:ascii="Times New Roman" w:hAnsi="Times New Roman"/>
          <w:sz w:val="24"/>
          <w:szCs w:val="24"/>
          <w:lang w:val="uk-UA"/>
        </w:rPr>
        <w:t>Практична з</w:t>
      </w:r>
      <w:r w:rsidRPr="00573210">
        <w:rPr>
          <w:rFonts w:ascii="Times New Roman" w:hAnsi="Times New Roman"/>
          <w:sz w:val="24"/>
          <w:szCs w:val="24"/>
          <w:lang w:val="uk-UA"/>
        </w:rPr>
        <w:t>начущість результатів поля</w:t>
      </w:r>
      <w:r w:rsidR="00280047" w:rsidRPr="00573210">
        <w:rPr>
          <w:rFonts w:ascii="Times New Roman" w:hAnsi="Times New Roman"/>
          <w:sz w:val="24"/>
          <w:szCs w:val="24"/>
          <w:lang w:val="uk-UA"/>
        </w:rPr>
        <w:t>гає в тому, що створювана динамічна система моніторингу надзвичайних ситуацій та стану довкілля,</w:t>
      </w:r>
      <w:r w:rsidR="00E71F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0047" w:rsidRPr="00573210">
        <w:rPr>
          <w:rFonts w:ascii="Times New Roman" w:hAnsi="Times New Roman"/>
          <w:sz w:val="24"/>
          <w:szCs w:val="24"/>
          <w:lang w:val="uk-UA"/>
        </w:rPr>
        <w:t>прогнозування його змін і розроблення науково-обґрунтованих рекомендацій для прийняття рішень про запобігання негативним техногенним змінам стану території</w:t>
      </w:r>
      <w:r w:rsidRPr="005732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0047" w:rsidRPr="00573210">
        <w:rPr>
          <w:rFonts w:ascii="Times New Roman" w:hAnsi="Times New Roman"/>
          <w:sz w:val="24"/>
          <w:szCs w:val="24"/>
          <w:lang w:val="uk-UA"/>
        </w:rPr>
        <w:t>забезпечить умови для підвищення рівня безпеки життя населення та функціонування природно-господарських систем та територіально-виробничих комплексів з одночасною</w:t>
      </w:r>
      <w:r w:rsidRPr="005732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0047" w:rsidRPr="00573210">
        <w:rPr>
          <w:rFonts w:ascii="Times New Roman" w:hAnsi="Times New Roman"/>
          <w:sz w:val="24"/>
          <w:szCs w:val="24"/>
          <w:lang w:val="uk-UA"/>
        </w:rPr>
        <w:t>мінімізацію втрат від надзвичайних ситуацій природного, техногенного та природно-техногенного походження.</w:t>
      </w:r>
      <w:r w:rsidR="00C460A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>Останнім часом широкого застосування набувають дистанційні методи контролю для оперативного виявлення радіаційної, хімічної й біологічної обс</w:t>
      </w:r>
      <w:r w:rsidR="008748F7">
        <w:rPr>
          <w:rFonts w:ascii="Times New Roman" w:hAnsi="Times New Roman"/>
          <w:color w:val="000000"/>
          <w:sz w:val="24"/>
          <w:szCs w:val="24"/>
          <w:lang w:val="uk-UA"/>
        </w:rPr>
        <w:t>тановки у випадках екстремально-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>високого забруднення приземного шару атмосферного повітря на території впливу потенційно небезпечних об’єктів (ПНО).</w:t>
      </w:r>
      <w:r w:rsidR="00C460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>Реалії сьогодення спонукають до розроблення нових, а також розвитку існуючих засобів техногенно-екологічного моніторингу з метою виконання як цивільних завдань моніторингу стану природно-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техногенної безпеки, так і військових завдань оцінювання небезпечної обстановки, що у сукупності створює умови для формування високого рівня безпеки територій та країни загалом.</w:t>
      </w:r>
      <w:r w:rsidRPr="008B227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осмічні зображення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</w:rPr>
        <w:t>, що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</w:rPr>
        <w:t>використовуються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в інформаційних системах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мають цифрове представлення і формуються за допомогою дискретизації і квантування безперервного сигналу, 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</w:rPr>
        <w:t>який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надходить на вхід реєструючого пристрою (багатоканального сканера або сенсора).</w:t>
      </w:r>
      <w:r w:rsidR="008748F7" w:rsidRPr="008748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8F7" w:rsidRPr="0091138F">
        <w:rPr>
          <w:rFonts w:ascii="Times New Roman" w:hAnsi="Times New Roman"/>
          <w:sz w:val="24"/>
          <w:szCs w:val="24"/>
          <w:lang w:val="uk-UA"/>
        </w:rPr>
        <w:t xml:space="preserve">[1]. 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Дискретизація полягає в заміні неперервних просторових і часових координат зображення кінцев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</w:rPr>
        <w:t>ою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</w:rPr>
        <w:t>множиною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дискретних значень на основі прямокутного растра. Квантування здійснюється за допомогою заміни безперервного сигналу спектральної енергетичної яскравості кінцев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</w:rPr>
        <w:t xml:space="preserve">ою множиною </w:t>
      </w:r>
      <w:r w:rsidRPr="0057321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дискретних градацій (як правило, в діапазоні [0 ... 255]). Різноманітність властивостей об'єктів земної поверхні обумовлює неоднаковість значень їх коефіцієнтів відбиття в різних діапазонах електромагнітного спектру. У випадку, якщо реєстрація зображення проводиться в 3–10 діапазонах (каналах), зображення називається багатоспектральні.</w:t>
      </w:r>
      <w:r w:rsidR="00C460A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Нехай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6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4.75pt" o:ole="">
            <v:imagedata r:id="rId7" o:title=""/>
          </v:shape>
          <o:OLEObject Type="Embed" ProgID="Equation.3" ShapeID="_x0000_i1025" DrawAspect="Content" ObjectID="_1729435565" r:id="rId8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– безперервне зображення, зареєстроване в момент часу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380" w:dyaOrig="380">
          <v:shape id="_x0000_i1026" type="#_x0000_t75" style="width:18.75pt;height:18.75pt" o:ole="">
            <v:imagedata r:id="rId9" o:title=""/>
          </v:shape>
          <o:OLEObject Type="Embed" ProgID="Equation.3" ShapeID="_x0000_i1026" DrawAspect="Content" ObjectID="_1729435566" r:id="rId10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1300" w:dyaOrig="340">
          <v:shape id="_x0000_i1027" type="#_x0000_t75" style="width:65.25pt;height:17.25pt" o:ole="">
            <v:imagedata r:id="rId11" o:title=""/>
          </v:shape>
          <o:OLEObject Type="Embed" ProgID="Equation.3" ShapeID="_x0000_i1027" DrawAspect="Content" ObjectID="_1729435567" r:id="rId12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– номер моменту часу реєстрації зображення). 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Виконання операцій дискретизації і квантування дозволяє перейти від безперервного зображення до відповідного йому </w: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дискретного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480" w:dyaOrig="440">
          <v:shape id="_x0000_i1028" type="#_x0000_t75" style="width:24pt;height:21.75pt" o:ole="">
            <v:imagedata r:id="rId13" o:title=""/>
          </v:shape>
          <o:OLEObject Type="Embed" ProgID="Equation.3" ShapeID="_x0000_i1028" DrawAspect="Content" ObjectID="_1729435568" r:id="rId14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розміром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900" w:dyaOrig="300">
          <v:shape id="_x0000_i1029" type="#_x0000_t75" style="width:45pt;height:15pt" o:ole="">
            <v:imagedata r:id="rId15" o:title=""/>
          </v:shape>
          <o:OLEObject Type="Embed" ProgID="Equation.3" ShapeID="_x0000_i1029" DrawAspect="Content" ObjectID="_1729435569" r:id="rId16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, де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160" w:dyaOrig="279">
          <v:shape id="_x0000_i1030" type="#_x0000_t75" style="width:8.25pt;height:14.25pt" o:ole="">
            <v:imagedata r:id="rId17" o:title=""/>
          </v:shape>
          <o:OLEObject Type="Embed" ProgID="Equation.3" ShapeID="_x0000_i1030" DrawAspect="Content" ObjectID="_1729435570" r:id="rId18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– кількість строк,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200" w:dyaOrig="300">
          <v:shape id="_x0000_i1031" type="#_x0000_t75" style="width:9.75pt;height:15pt" o:ole="">
            <v:imagedata r:id="rId19" o:title=""/>
          </v:shape>
          <o:OLEObject Type="Embed" ProgID="Equation.3" ShapeID="_x0000_i1031" DrawAspect="Content" ObjectID="_1729435571" r:id="rId20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– кількість стовпців,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240" w:dyaOrig="279">
          <v:shape id="_x0000_i1032" type="#_x0000_t75" style="width:12pt;height:14.25pt" o:ole="">
            <v:imagedata r:id="rId21" o:title=""/>
          </v:shape>
          <o:OLEObject Type="Embed" ProgID="Equation.3" ShapeID="_x0000_i1032" DrawAspect="Content" ObjectID="_1729435572" r:id="rId22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– кількість каналів;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1219" w:dyaOrig="440">
          <v:shape id="_x0000_i1033" type="#_x0000_t75" style="width:60.75pt;height:21.75pt" o:ole="">
            <v:imagedata r:id="rId23" o:title=""/>
          </v:shape>
          <o:OLEObject Type="Embed" ProgID="Equation.3" ShapeID="_x0000_i1033" DrawAspect="Content" ObjectID="_1729435573" r:id="rId24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– спектральна енергетична яскравість растрового зображення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740" w:dyaOrig="380">
          <v:shape id="_x0000_i1034" type="#_x0000_t75" style="width:36.75pt;height:18.75pt" o:ole="">
            <v:imagedata r:id="rId25" o:title=""/>
          </v:shape>
          <o:OLEObject Type="Embed" ProgID="Equation.3" ShapeID="_x0000_i1034" DrawAspect="Content" ObjectID="_1729435574" r:id="rId26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в пікселі з координатами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780" w:dyaOrig="360">
          <v:shape id="_x0000_i1035" type="#_x0000_t75" style="width:39pt;height:18pt" o:ole="">
            <v:imagedata r:id="rId27" o:title=""/>
          </v:shape>
          <o:OLEObject Type="Embed" ProgID="Equation.3" ShapeID="_x0000_i1035" DrawAspect="Content" ObjectID="_1729435575" r:id="rId28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>, (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999" w:dyaOrig="340">
          <v:shape id="_x0000_i1036" type="#_x0000_t75" style="width:50.25pt;height:17.25pt" o:ole="">
            <v:imagedata r:id="rId29" o:title=""/>
          </v:shape>
          <o:OLEObject Type="Embed" ProgID="Equation.3" ShapeID="_x0000_i1036" DrawAspect="Content" ObjectID="_1729435576" r:id="rId30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1020" w:dyaOrig="360">
          <v:shape id="_x0000_i1037" type="#_x0000_t75" style="width:51pt;height:18pt" o:ole="">
            <v:imagedata r:id="rId31" o:title=""/>
          </v:shape>
          <o:OLEObject Type="Embed" ProgID="Equation.3" ShapeID="_x0000_i1037" DrawAspect="Content" ObjectID="_1729435577" r:id="rId32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1160" w:dyaOrig="340">
          <v:shape id="_x0000_i1038" type="#_x0000_t75" style="width:57.75pt;height:17.25pt" o:ole="">
            <v:imagedata r:id="rId33" o:title=""/>
          </v:shape>
          <o:OLEObject Type="Embed" ProgID="Equation.3" ShapeID="_x0000_i1038" DrawAspect="Content" ObjectID="_1729435578" r:id="rId34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>):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3960" w:dyaOrig="480">
          <v:shape id="_x0000_i1039" type="#_x0000_t75" style="width:198pt;height:24pt" o:ole="">
            <v:imagedata r:id="rId35" o:title=""/>
          </v:shape>
          <o:OLEObject Type="Embed" ProgID="Equation.3" ShapeID="_x0000_i1039" DrawAspect="Content" ObjectID="_1729435579" r:id="rId36"/>
        </w:object>
      </w:r>
      <w:r w:rsidR="00E71FF8">
        <w:rPr>
          <w:rFonts w:ascii="Times New Roman" w:hAnsi="Times New Roman"/>
          <w:color w:val="000000"/>
          <w:sz w:val="24"/>
          <w:szCs w:val="24"/>
        </w:rPr>
        <w:t xml:space="preserve">,      </w:t>
      </w:r>
      <w:r w:rsidRPr="00573210">
        <w:rPr>
          <w:rFonts w:ascii="Times New Roman" w:hAnsi="Times New Roman"/>
          <w:color w:val="000000"/>
          <w:sz w:val="24"/>
          <w:szCs w:val="24"/>
        </w:rPr>
        <w:t>(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C460AC">
        <w:rPr>
          <w:rFonts w:ascii="Times New Roman" w:hAnsi="Times New Roman"/>
          <w:color w:val="000000"/>
          <w:sz w:val="24"/>
          <w:szCs w:val="24"/>
        </w:rPr>
        <w:t>.</w:t>
      </w:r>
      <w:r w:rsidRPr="00573210">
        <w:rPr>
          <w:rFonts w:ascii="Times New Roman" w:hAnsi="Times New Roman"/>
          <w:color w:val="000000"/>
          <w:sz w:val="24"/>
          <w:szCs w:val="24"/>
        </w:rPr>
        <w:t>)</w:t>
      </w:r>
    </w:p>
    <w:p w:rsidR="00573210" w:rsidRPr="00573210" w:rsidRDefault="007155BD" w:rsidP="00E71FF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73210">
        <w:rPr>
          <w:rFonts w:ascii="Times New Roman" w:hAnsi="Times New Roman"/>
          <w:color w:val="000000"/>
          <w:sz w:val="24"/>
          <w:szCs w:val="24"/>
        </w:rPr>
        <w:t xml:space="preserve">де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320" w:dyaOrig="279">
          <v:shape id="_x0000_i1040" type="#_x0000_t75" style="width:15.75pt;height:14.25pt" o:ole="">
            <v:imagedata r:id="rId37" o:title=""/>
          </v:shape>
          <o:OLEObject Type="Embed" ProgID="Equation.3" ShapeID="_x0000_i1040" DrawAspect="Content" ObjectID="_1729435580" r:id="rId38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300" w:dyaOrig="360">
          <v:shape id="_x0000_i1041" type="#_x0000_t75" style="width:15pt;height:18pt" o:ole="">
            <v:imagedata r:id="rId39" o:title=""/>
          </v:shape>
          <o:OLEObject Type="Embed" ProgID="Equation.3" ShapeID="_x0000_i1041" DrawAspect="Content" ObjectID="_1729435581" r:id="rId40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>кроки дискретизації по рядках і стовпцях</w: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73210">
        <w:rPr>
          <w:rFonts w:ascii="Times New Roman" w:hAnsi="Times New Roman"/>
          <w:color w:val="000000"/>
          <w:sz w:val="24"/>
          <w:szCs w:val="24"/>
        </w:rPr>
        <w:object w:dxaOrig="400" w:dyaOrig="279">
          <v:shape id="_x0000_i1042" type="#_x0000_t75" style="width:20.25pt;height:14.25pt" o:ole="">
            <v:imagedata r:id="rId41" o:title=""/>
          </v:shape>
          <o:OLEObject Type="Embed" ProgID="Equation.3" ShapeID="_x0000_i1042" DrawAspect="Content" ObjectID="_1729435582" r:id="rId42"/>
        </w:objec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>спектральн</w:t>
      </w:r>
      <w:r w:rsidRPr="00573210">
        <w:rPr>
          <w:rFonts w:ascii="Times New Roman" w:hAnsi="Times New Roman"/>
          <w:color w:val="000000"/>
          <w:sz w:val="24"/>
          <w:szCs w:val="24"/>
        </w:rPr>
        <w:t>а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73210">
        <w:rPr>
          <w:rFonts w:ascii="Times New Roman" w:hAnsi="Times New Roman"/>
          <w:color w:val="000000"/>
          <w:sz w:val="24"/>
          <w:szCs w:val="24"/>
        </w:rPr>
        <w:t>роздільна здатність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 xml:space="preserve"> (ширина діапазону довжин хвиль реєстрованого випромінювання).</w:t>
      </w:r>
      <w:r w:rsidR="00E71FF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>Крок дискретизації визначає просторову роздільну здатність</w:t>
      </w:r>
      <w:r w:rsidRPr="0057321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>мінімальний розмір елемента земної поверхні, помітного на зображенні</w:t>
      </w:r>
      <w:r w:rsidR="00573210" w:rsidRPr="00573210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573210" w:rsidRPr="004E1F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73210" w:rsidRPr="00573210">
        <w:rPr>
          <w:rFonts w:ascii="Times New Roman" w:hAnsi="Times New Roman"/>
          <w:color w:val="000000"/>
          <w:sz w:val="24"/>
          <w:szCs w:val="24"/>
          <w:lang w:val="uk-UA"/>
        </w:rPr>
        <w:t xml:space="preserve">Оперативний супутниковий контроль за станом техногенних геоекосистем – ТГЕС (синонім – геоекотехнічних систем – ГЕТС), управління природними ресурсами, дослідження динаміки протікання природних процесів і явищ, аналізу причин екологічних забруднень, прогнозування можливих наслідків і вибору способів попередження надзвичайних ситуацій є невід’ємним атрибутом методології збору інформації про стан території, що досліджується (країна, регіон, місто). Така інформація необхідна для прийняття правильних і </w:t>
      </w:r>
      <w:r w:rsidR="008748F7">
        <w:rPr>
          <w:rFonts w:ascii="Times New Roman" w:hAnsi="Times New Roman"/>
          <w:sz w:val="24"/>
          <w:szCs w:val="24"/>
          <w:lang w:val="uk-UA"/>
        </w:rPr>
        <w:t>[2</w:t>
      </w:r>
      <w:r w:rsidR="008748F7" w:rsidRPr="0091138F">
        <w:rPr>
          <w:rFonts w:ascii="Times New Roman" w:hAnsi="Times New Roman"/>
          <w:sz w:val="24"/>
          <w:szCs w:val="24"/>
          <w:lang w:val="uk-UA"/>
        </w:rPr>
        <w:t xml:space="preserve">]. </w:t>
      </w:r>
      <w:r w:rsidR="00573210" w:rsidRPr="00573210">
        <w:rPr>
          <w:rFonts w:ascii="Times New Roman" w:hAnsi="Times New Roman"/>
          <w:color w:val="000000"/>
          <w:sz w:val="24"/>
          <w:szCs w:val="24"/>
          <w:lang w:val="uk-UA"/>
        </w:rPr>
        <w:t>своєчасних управлінських рішень. Особлива увага приділяється супутниковій інформації в геоінформаційних системах (ГІС), де результати дистанційного зондування поверхні Землі з космосу є регулярно обновлюваним джерелом даних, необхідних для формування природничо–ресурсних кадастрів і інших додатків, охоплюючи широкий спектр масштабів (від 1:2 000 до 1:10 000 000). Кожен аерокосмічний знімок є носієм двох видів інформації – вимі</w:t>
      </w:r>
      <w:r w:rsidR="00573210" w:rsidRPr="00573210">
        <w:rPr>
          <w:rFonts w:ascii="Times New Roman" w:hAnsi="Times New Roman"/>
          <w:color w:val="000000"/>
          <w:sz w:val="24"/>
          <w:szCs w:val="24"/>
          <w:lang w:val="uk-UA"/>
        </w:rPr>
        <w:softHyphen/>
        <w:t>рювальної і семантичної</w:t>
      </w:r>
      <w:r w:rsidR="008748F7">
        <w:rPr>
          <w:rFonts w:ascii="Times New Roman" w:hAnsi="Times New Roman"/>
          <w:sz w:val="24"/>
          <w:szCs w:val="24"/>
          <w:lang w:val="uk-UA"/>
        </w:rPr>
        <w:t>[3</w:t>
      </w:r>
      <w:r w:rsidR="008748F7" w:rsidRPr="0091138F">
        <w:rPr>
          <w:rFonts w:ascii="Times New Roman" w:hAnsi="Times New Roman"/>
          <w:sz w:val="24"/>
          <w:szCs w:val="24"/>
          <w:lang w:val="uk-UA"/>
        </w:rPr>
        <w:t>].</w:t>
      </w:r>
      <w:r w:rsidR="00573210" w:rsidRPr="00573210">
        <w:rPr>
          <w:rFonts w:ascii="Times New Roman" w:hAnsi="Times New Roman"/>
          <w:color w:val="000000"/>
          <w:sz w:val="24"/>
          <w:szCs w:val="24"/>
          <w:lang w:val="uk-UA"/>
        </w:rPr>
        <w:t>. Точність вимірювальної інформації є похід</w:t>
      </w:r>
      <w:r w:rsidR="00573210" w:rsidRPr="00573210">
        <w:rPr>
          <w:rFonts w:ascii="Times New Roman" w:hAnsi="Times New Roman"/>
          <w:color w:val="000000"/>
          <w:sz w:val="24"/>
          <w:szCs w:val="24"/>
          <w:lang w:val="uk-UA"/>
        </w:rPr>
        <w:softHyphen/>
        <w:t>ною від фотограмметричної якості знімка, обсяг семантичної інформації залежить від просторової та радіометричної розрізненості зображення, розміру кадру зображення тощо. Перелічені чинники є причиною того, що точність, повнота, вірогідність аерокосмічної інформації про об'єкти зон</w:t>
      </w:r>
      <w:r w:rsidR="00573210" w:rsidRPr="00573210">
        <w:rPr>
          <w:rFonts w:ascii="Times New Roman" w:hAnsi="Times New Roman"/>
          <w:color w:val="000000"/>
          <w:sz w:val="24"/>
          <w:szCs w:val="24"/>
          <w:lang w:val="uk-UA"/>
        </w:rPr>
        <w:softHyphen/>
        <w:t xml:space="preserve">дування завжди є </w:t>
      </w:r>
      <w:r w:rsidR="00573210" w:rsidRPr="0057321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обмеженими. С</w:t>
      </w:r>
      <w:r w:rsidR="00573210" w:rsidRPr="00573210">
        <w:rPr>
          <w:rFonts w:ascii="Times New Roman" w:hAnsi="Times New Roman"/>
          <w:color w:val="000000"/>
          <w:sz w:val="24"/>
          <w:szCs w:val="24"/>
        </w:rPr>
        <w:t xml:space="preserve">хема </w:t>
      </w:r>
      <w:r w:rsidR="00573210" w:rsidRPr="00573210">
        <w:rPr>
          <w:rFonts w:ascii="Times New Roman" w:hAnsi="Times New Roman"/>
          <w:color w:val="000000"/>
          <w:sz w:val="24"/>
          <w:szCs w:val="24"/>
          <w:lang w:val="uk-UA"/>
        </w:rPr>
        <w:t>вивчення геоекотехнічних систем за допомогою ДЗЗ, коли головним предметом досліджень є  геоз</w:t>
      </w:r>
      <w:r w:rsidR="001543E4">
        <w:rPr>
          <w:rFonts w:ascii="Times New Roman" w:hAnsi="Times New Roman"/>
          <w:color w:val="000000"/>
          <w:sz w:val="24"/>
          <w:szCs w:val="24"/>
          <w:lang w:val="uk-UA"/>
        </w:rPr>
        <w:t>ображення, представлена на рис.</w:t>
      </w:r>
      <w:r w:rsidR="00573210" w:rsidRPr="00573210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8B227C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4019550" cy="2790825"/>
            <wp:effectExtent l="0" t="0" r="0" b="0"/>
            <wp:docPr id="1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10" w:rsidRPr="00573210" w:rsidRDefault="00573210" w:rsidP="00573210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>Рисунок</w:t>
      </w:r>
      <w:r w:rsidR="00C460AC">
        <w:rPr>
          <w:rFonts w:ascii="Times New Roman" w:hAnsi="Times New Roman"/>
          <w:color w:val="000000"/>
          <w:sz w:val="24"/>
          <w:szCs w:val="24"/>
          <w:lang w:val="uk-UA"/>
        </w:rPr>
        <w:t xml:space="preserve"> 1.</w:t>
      </w:r>
      <w:r w:rsidRPr="00573210">
        <w:rPr>
          <w:rFonts w:ascii="Times New Roman" w:hAnsi="Times New Roman"/>
          <w:color w:val="000000"/>
          <w:sz w:val="24"/>
          <w:szCs w:val="24"/>
          <w:lang w:val="uk-UA"/>
        </w:rPr>
        <w:t>– Схема вивчення ГЕТС за матеріалами ДЗЗ</w:t>
      </w:r>
    </w:p>
    <w:p w:rsidR="001543E4" w:rsidRPr="001543E4" w:rsidRDefault="001543E4" w:rsidP="001543E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43E4">
        <w:rPr>
          <w:rFonts w:ascii="Times New Roman" w:hAnsi="Times New Roman"/>
          <w:color w:val="000000"/>
          <w:sz w:val="24"/>
          <w:szCs w:val="24"/>
        </w:rPr>
        <w:t>Розроблений метод комплексного</w:t>
      </w:r>
      <w:r w:rsidRPr="001543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43E4">
        <w:rPr>
          <w:rFonts w:ascii="Times New Roman" w:hAnsi="Times New Roman"/>
          <w:bCs/>
          <w:color w:val="000000"/>
          <w:sz w:val="24"/>
          <w:szCs w:val="24"/>
        </w:rPr>
        <w:t xml:space="preserve">оцінювання ризиків життєдіяльності для умов можливих аварій на </w:t>
      </w:r>
      <w:r w:rsidRPr="001543E4">
        <w:rPr>
          <w:rFonts w:ascii="Times New Roman" w:hAnsi="Times New Roman"/>
          <w:color w:val="000000"/>
          <w:sz w:val="24"/>
          <w:szCs w:val="24"/>
          <w:lang w:val="uk-UA"/>
        </w:rPr>
        <w:t>хімічно–небезпечних об’єктах</w:t>
      </w:r>
      <w:r w:rsidRPr="001543E4">
        <w:rPr>
          <w:rFonts w:ascii="Times New Roman" w:hAnsi="Times New Roman"/>
          <w:bCs/>
          <w:color w:val="000000"/>
          <w:sz w:val="24"/>
          <w:szCs w:val="24"/>
        </w:rPr>
        <w:t xml:space="preserve"> з урахуванням негативного впливу екзогенних геологічних процесів орієнтований на здійснення кількісної оцінки ризиків життєдіяльності від аварій на </w:t>
      </w:r>
      <w:r w:rsidRPr="001543E4">
        <w:rPr>
          <w:rFonts w:ascii="Times New Roman" w:hAnsi="Times New Roman"/>
          <w:color w:val="000000"/>
          <w:sz w:val="24"/>
          <w:szCs w:val="24"/>
          <w:lang w:val="uk-UA"/>
        </w:rPr>
        <w:t>хімічно–небезпечних об’єктах</w:t>
      </w:r>
      <w:r w:rsidRPr="001543E4">
        <w:rPr>
          <w:rFonts w:ascii="Times New Roman" w:hAnsi="Times New Roman"/>
          <w:bCs/>
          <w:color w:val="000000"/>
          <w:sz w:val="24"/>
          <w:szCs w:val="24"/>
        </w:rPr>
        <w:t xml:space="preserve"> на основі</w:t>
      </w:r>
      <w:r w:rsidRPr="001543E4">
        <w:rPr>
          <w:rFonts w:ascii="Times New Roman" w:hAnsi="Times New Roman"/>
          <w:color w:val="000000"/>
          <w:sz w:val="24"/>
          <w:szCs w:val="24"/>
        </w:rPr>
        <w:t xml:space="preserve"> визначення площ можливого природного (прояви НЕГП) та техногенного (аварія на </w:t>
      </w:r>
      <w:r w:rsidRPr="001543E4">
        <w:rPr>
          <w:rFonts w:ascii="Times New Roman" w:hAnsi="Times New Roman"/>
          <w:color w:val="000000"/>
          <w:sz w:val="24"/>
          <w:szCs w:val="24"/>
          <w:lang w:val="uk-UA"/>
        </w:rPr>
        <w:t>хімічно–небезпечних об’єктах</w:t>
      </w:r>
      <w:r w:rsidRPr="001543E4">
        <w:rPr>
          <w:rFonts w:ascii="Times New Roman" w:hAnsi="Times New Roman"/>
          <w:color w:val="000000"/>
          <w:sz w:val="24"/>
          <w:szCs w:val="24"/>
        </w:rPr>
        <w:t>) ураження, часу підходу токсичної хмари до населеного пункту, а також щільності і вікової структури населення в зонах прояву НЕГП і хімічного ураження.</w:t>
      </w:r>
    </w:p>
    <w:p w:rsidR="009847F3" w:rsidRPr="00573210" w:rsidRDefault="009847F3" w:rsidP="00573210">
      <w:pPr>
        <w:pStyle w:val="a4"/>
        <w:shd w:val="clear" w:color="auto" w:fill="auto"/>
        <w:spacing w:line="240" w:lineRule="auto"/>
        <w:ind w:left="20" w:right="20" w:firstLine="54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73210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Література.</w:t>
      </w:r>
    </w:p>
    <w:p w:rsidR="000B6EAC" w:rsidRPr="00573210" w:rsidRDefault="000B6EAC" w:rsidP="00573210">
      <w:pPr>
        <w:pStyle w:val="a4"/>
        <w:shd w:val="clear" w:color="auto" w:fill="auto"/>
        <w:spacing w:line="240" w:lineRule="auto"/>
        <w:ind w:left="20" w:right="20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76B81" w:rsidRPr="00573210" w:rsidRDefault="008748F7" w:rsidP="008748F7">
      <w:pPr>
        <w:numPr>
          <w:ilvl w:val="0"/>
          <w:numId w:val="13"/>
        </w:numPr>
        <w:shd w:val="clear" w:color="auto" w:fill="FFFFFF"/>
        <w:spacing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 w:eastAsia="en-US"/>
        </w:rPr>
        <w:t xml:space="preserve">  </w:t>
      </w:r>
      <w:r w:rsidR="00876B81" w:rsidRPr="00573210">
        <w:rPr>
          <w:rFonts w:ascii="Times New Roman" w:hAnsi="Times New Roman"/>
          <w:iCs/>
          <w:color w:val="000000"/>
          <w:sz w:val="24"/>
          <w:szCs w:val="24"/>
          <w:lang w:val="en-US" w:eastAsia="en-US"/>
        </w:rPr>
        <w:t>Trofymchuk, O., Myrontsov, M., Okhariev, V., Anpilova, Y., Trysnyuk. V.</w:t>
      </w:r>
      <w:r w:rsidR="00876B81" w:rsidRPr="0057321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(2021) A Transdisciplinary Analytical System for Supporting the Environmental. Systems, decision and control in energy II. Studies in systems. Decision and Control, Springer, Cham. P. 319–331. </w:t>
      </w:r>
      <w:hyperlink r:id="rId44" w:history="1">
        <w:r w:rsidR="00876B81" w:rsidRPr="00573210">
          <w:rPr>
            <w:rFonts w:ascii="Times New Roman" w:hAnsi="Times New Roman"/>
            <w:color w:val="000000"/>
            <w:sz w:val="24"/>
            <w:szCs w:val="24"/>
            <w:lang w:val="en-US" w:eastAsia="en-US"/>
          </w:rPr>
          <w:t>https://doi.org/10.1007/978–3–030–69189–9_19</w:t>
        </w:r>
      </w:hyperlink>
      <w:r w:rsidR="00876B81" w:rsidRPr="00573210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876B81" w:rsidRPr="00573210">
        <w:rPr>
          <w:rFonts w:ascii="Times New Roman" w:hAnsi="Times New Roman"/>
          <w:color w:val="000000"/>
          <w:sz w:val="24"/>
          <w:szCs w:val="24"/>
          <w:lang w:val="en-US" w:eastAsia="en-US"/>
        </w:rPr>
        <w:t>(Sopus)</w:t>
      </w:r>
    </w:p>
    <w:p w:rsidR="009847F3" w:rsidRDefault="009847F3" w:rsidP="008748F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42" w:right="308" w:firstLine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73210">
        <w:rPr>
          <w:rFonts w:ascii="Times New Roman" w:eastAsia="Calibri" w:hAnsi="Times New Roman"/>
          <w:sz w:val="24"/>
          <w:szCs w:val="24"/>
          <w:lang w:val="uk-UA"/>
        </w:rPr>
        <w:t>Трофимчук</w:t>
      </w:r>
      <w:r w:rsidRPr="00573210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573210">
        <w:rPr>
          <w:rFonts w:ascii="Times New Roman" w:eastAsia="Calibri" w:hAnsi="Times New Roman"/>
          <w:sz w:val="24"/>
          <w:szCs w:val="24"/>
          <w:lang w:val="uk-UA"/>
        </w:rPr>
        <w:t>О.</w:t>
      </w:r>
      <w:r w:rsidRPr="00573210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573210">
        <w:rPr>
          <w:rFonts w:ascii="Times New Roman" w:eastAsia="Calibri" w:hAnsi="Times New Roman"/>
          <w:sz w:val="24"/>
          <w:szCs w:val="24"/>
          <w:lang w:val="uk-UA"/>
        </w:rPr>
        <w:t>М.</w:t>
      </w:r>
      <w:r w:rsidRPr="00573210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573210">
        <w:rPr>
          <w:rFonts w:ascii="Times New Roman" w:eastAsia="Calibri" w:hAnsi="Times New Roman"/>
          <w:sz w:val="24"/>
          <w:szCs w:val="24"/>
          <w:lang w:val="uk-UA"/>
        </w:rPr>
        <w:t>Геоінформаційні</w:t>
      </w:r>
      <w:r w:rsidRPr="00573210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573210">
        <w:rPr>
          <w:rFonts w:ascii="Times New Roman" w:eastAsia="Calibri" w:hAnsi="Times New Roman"/>
          <w:sz w:val="24"/>
          <w:szCs w:val="24"/>
          <w:lang w:val="uk-UA"/>
        </w:rPr>
        <w:t>технології</w:t>
      </w:r>
      <w:r w:rsidRPr="00573210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573210">
        <w:rPr>
          <w:rFonts w:ascii="Times New Roman" w:eastAsia="Calibri" w:hAnsi="Times New Roman"/>
          <w:sz w:val="24"/>
          <w:szCs w:val="24"/>
          <w:lang w:val="uk-UA"/>
        </w:rPr>
        <w:t>захисту</w:t>
      </w:r>
      <w:r w:rsidRPr="00573210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573210">
        <w:rPr>
          <w:rFonts w:ascii="Times New Roman" w:eastAsia="Calibri" w:hAnsi="Times New Roman"/>
          <w:sz w:val="24"/>
          <w:szCs w:val="24"/>
          <w:lang w:val="uk-UA"/>
        </w:rPr>
        <w:t>довкілля</w:t>
      </w:r>
      <w:r w:rsidRPr="00573210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573210">
        <w:rPr>
          <w:rFonts w:ascii="Times New Roman" w:eastAsia="Calibri" w:hAnsi="Times New Roman"/>
          <w:sz w:val="24"/>
          <w:szCs w:val="24"/>
          <w:lang w:val="uk-UA"/>
        </w:rPr>
        <w:t>природно-заповідного</w:t>
      </w:r>
      <w:r w:rsidRPr="00573210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573210">
        <w:rPr>
          <w:rFonts w:ascii="Times New Roman" w:eastAsia="Calibri" w:hAnsi="Times New Roman"/>
          <w:sz w:val="24"/>
          <w:szCs w:val="24"/>
          <w:lang w:val="uk-UA"/>
        </w:rPr>
        <w:t>фонду / О. М. Трофимчук, О. М. Адаменко, В. М. Триснюк. – Івано-Франківськ: Супрун В. П.,</w:t>
      </w:r>
      <w:r w:rsidRPr="00573210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573210">
        <w:rPr>
          <w:rFonts w:ascii="Times New Roman" w:eastAsia="Calibri" w:hAnsi="Times New Roman"/>
          <w:sz w:val="24"/>
          <w:szCs w:val="24"/>
          <w:lang w:val="uk-UA"/>
        </w:rPr>
        <w:t>2020. – 340 с.</w:t>
      </w:r>
    </w:p>
    <w:p w:rsidR="001543E4" w:rsidRPr="001543E4" w:rsidRDefault="001543E4" w:rsidP="008748F7">
      <w:pPr>
        <w:numPr>
          <w:ilvl w:val="0"/>
          <w:numId w:val="13"/>
        </w:numPr>
        <w:spacing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43E4">
        <w:rPr>
          <w:rFonts w:ascii="Times New Roman" w:hAnsi="Times New Roman"/>
          <w:color w:val="000000"/>
          <w:sz w:val="24"/>
          <w:szCs w:val="24"/>
          <w:lang w:val="uk-UA"/>
        </w:rPr>
        <w:t xml:space="preserve">Довгий О.С.,Трофимчук О.М.,Коржнєв М.М.,Яковлєв Є.О.,Триснюк В.М. і інші. Моніторинг мінерально–сировинної бази України та екологічного стану територій їїгірничодобувнихрегіонів у контексті забезпечення їх сталого розвитку. /Довгий О.С.,Трофимчук О.М.,Коржнєв М.М.,Яковлєв Є.О.,Триснюк В.М. і інші. – Київ. Ніка–Центр. 2019. 148 с. </w:t>
      </w:r>
    </w:p>
    <w:p w:rsidR="0001215E" w:rsidRPr="000B6EAC" w:rsidRDefault="0001215E" w:rsidP="00C460AC">
      <w:pPr>
        <w:widowControl w:val="0"/>
        <w:autoSpaceDE w:val="0"/>
        <w:autoSpaceDN w:val="0"/>
        <w:spacing w:after="0" w:line="240" w:lineRule="auto"/>
        <w:ind w:left="913" w:right="31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sectPr w:rsidR="0001215E" w:rsidRPr="000B6EAC" w:rsidSect="000628F4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0E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4A8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BC4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AC9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8A7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42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66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1E2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2C1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2A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E3617"/>
    <w:multiLevelType w:val="hybridMultilevel"/>
    <w:tmpl w:val="FFFFFFFF"/>
    <w:lvl w:ilvl="0" w:tplc="8B1ACECE">
      <w:start w:val="6"/>
      <w:numFmt w:val="decimal"/>
      <w:lvlText w:val="%1"/>
      <w:lvlJc w:val="left"/>
      <w:pPr>
        <w:ind w:left="989" w:hanging="2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22116E">
      <w:numFmt w:val="bullet"/>
      <w:lvlText w:val="•"/>
      <w:lvlJc w:val="left"/>
      <w:pPr>
        <w:ind w:left="1870" w:hanging="204"/>
      </w:pPr>
      <w:rPr>
        <w:rFonts w:hint="default"/>
      </w:rPr>
    </w:lvl>
    <w:lvl w:ilvl="2" w:tplc="0BF4CD30">
      <w:numFmt w:val="bullet"/>
      <w:lvlText w:val="•"/>
      <w:lvlJc w:val="left"/>
      <w:pPr>
        <w:ind w:left="2761" w:hanging="204"/>
      </w:pPr>
      <w:rPr>
        <w:rFonts w:hint="default"/>
      </w:rPr>
    </w:lvl>
    <w:lvl w:ilvl="3" w:tplc="53B49B6C">
      <w:numFmt w:val="bullet"/>
      <w:lvlText w:val="•"/>
      <w:lvlJc w:val="left"/>
      <w:pPr>
        <w:ind w:left="3651" w:hanging="204"/>
      </w:pPr>
      <w:rPr>
        <w:rFonts w:hint="default"/>
      </w:rPr>
    </w:lvl>
    <w:lvl w:ilvl="4" w:tplc="2A7EA672">
      <w:numFmt w:val="bullet"/>
      <w:lvlText w:val="•"/>
      <w:lvlJc w:val="left"/>
      <w:pPr>
        <w:ind w:left="4542" w:hanging="204"/>
      </w:pPr>
      <w:rPr>
        <w:rFonts w:hint="default"/>
      </w:rPr>
    </w:lvl>
    <w:lvl w:ilvl="5" w:tplc="EAFEBF44">
      <w:numFmt w:val="bullet"/>
      <w:lvlText w:val="•"/>
      <w:lvlJc w:val="left"/>
      <w:pPr>
        <w:ind w:left="5433" w:hanging="204"/>
      </w:pPr>
      <w:rPr>
        <w:rFonts w:hint="default"/>
      </w:rPr>
    </w:lvl>
    <w:lvl w:ilvl="6" w:tplc="35D487C8">
      <w:numFmt w:val="bullet"/>
      <w:lvlText w:val="•"/>
      <w:lvlJc w:val="left"/>
      <w:pPr>
        <w:ind w:left="6323" w:hanging="204"/>
      </w:pPr>
      <w:rPr>
        <w:rFonts w:hint="default"/>
      </w:rPr>
    </w:lvl>
    <w:lvl w:ilvl="7" w:tplc="8C1C73E2">
      <w:numFmt w:val="bullet"/>
      <w:lvlText w:val="•"/>
      <w:lvlJc w:val="left"/>
      <w:pPr>
        <w:ind w:left="7214" w:hanging="204"/>
      </w:pPr>
      <w:rPr>
        <w:rFonts w:hint="default"/>
      </w:rPr>
    </w:lvl>
    <w:lvl w:ilvl="8" w:tplc="2DB00F04">
      <w:numFmt w:val="bullet"/>
      <w:lvlText w:val="•"/>
      <w:lvlJc w:val="left"/>
      <w:pPr>
        <w:ind w:left="8105" w:hanging="204"/>
      </w:pPr>
      <w:rPr>
        <w:rFonts w:hint="default"/>
      </w:rPr>
    </w:lvl>
  </w:abstractNum>
  <w:abstractNum w:abstractNumId="11" w15:restartNumberingAfterBreak="0">
    <w:nsid w:val="5ABA635E"/>
    <w:multiLevelType w:val="hybridMultilevel"/>
    <w:tmpl w:val="A8706072"/>
    <w:lvl w:ilvl="0" w:tplc="7DE89BEE">
      <w:start w:val="1"/>
      <w:numFmt w:val="decimal"/>
      <w:lvlText w:val="%1."/>
      <w:lvlJc w:val="left"/>
      <w:pPr>
        <w:ind w:left="346" w:hanging="20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BB72B62C">
      <w:numFmt w:val="bullet"/>
      <w:lvlText w:val="•"/>
      <w:lvlJc w:val="left"/>
      <w:pPr>
        <w:ind w:left="1186" w:hanging="204"/>
      </w:pPr>
      <w:rPr>
        <w:rFonts w:hint="default"/>
      </w:rPr>
    </w:lvl>
    <w:lvl w:ilvl="2" w:tplc="41166D7C">
      <w:numFmt w:val="bullet"/>
      <w:lvlText w:val="•"/>
      <w:lvlJc w:val="left"/>
      <w:pPr>
        <w:ind w:left="2153" w:hanging="204"/>
      </w:pPr>
      <w:rPr>
        <w:rFonts w:hint="default"/>
      </w:rPr>
    </w:lvl>
    <w:lvl w:ilvl="3" w:tplc="8C10D430">
      <w:numFmt w:val="bullet"/>
      <w:lvlText w:val="•"/>
      <w:lvlJc w:val="left"/>
      <w:pPr>
        <w:ind w:left="3119" w:hanging="204"/>
      </w:pPr>
      <w:rPr>
        <w:rFonts w:hint="default"/>
      </w:rPr>
    </w:lvl>
    <w:lvl w:ilvl="4" w:tplc="EC2E65C0">
      <w:numFmt w:val="bullet"/>
      <w:lvlText w:val="•"/>
      <w:lvlJc w:val="left"/>
      <w:pPr>
        <w:ind w:left="4086" w:hanging="204"/>
      </w:pPr>
      <w:rPr>
        <w:rFonts w:hint="default"/>
      </w:rPr>
    </w:lvl>
    <w:lvl w:ilvl="5" w:tplc="05BA0792">
      <w:numFmt w:val="bullet"/>
      <w:lvlText w:val="•"/>
      <w:lvlJc w:val="left"/>
      <w:pPr>
        <w:ind w:left="5053" w:hanging="204"/>
      </w:pPr>
      <w:rPr>
        <w:rFonts w:hint="default"/>
      </w:rPr>
    </w:lvl>
    <w:lvl w:ilvl="6" w:tplc="C4AA20D8">
      <w:numFmt w:val="bullet"/>
      <w:lvlText w:val="•"/>
      <w:lvlJc w:val="left"/>
      <w:pPr>
        <w:ind w:left="6019" w:hanging="204"/>
      </w:pPr>
      <w:rPr>
        <w:rFonts w:hint="default"/>
      </w:rPr>
    </w:lvl>
    <w:lvl w:ilvl="7" w:tplc="53D46984">
      <w:numFmt w:val="bullet"/>
      <w:lvlText w:val="•"/>
      <w:lvlJc w:val="left"/>
      <w:pPr>
        <w:ind w:left="6986" w:hanging="204"/>
      </w:pPr>
      <w:rPr>
        <w:rFonts w:hint="default"/>
      </w:rPr>
    </w:lvl>
    <w:lvl w:ilvl="8" w:tplc="69F8C9F4">
      <w:numFmt w:val="bullet"/>
      <w:lvlText w:val="•"/>
      <w:lvlJc w:val="left"/>
      <w:pPr>
        <w:ind w:left="7953" w:hanging="204"/>
      </w:pPr>
      <w:rPr>
        <w:rFonts w:hint="default"/>
      </w:rPr>
    </w:lvl>
  </w:abstractNum>
  <w:abstractNum w:abstractNumId="12" w15:restartNumberingAfterBreak="0">
    <w:nsid w:val="6FBA036F"/>
    <w:multiLevelType w:val="hybridMultilevel"/>
    <w:tmpl w:val="D72429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FE1880"/>
    <w:multiLevelType w:val="multilevel"/>
    <w:tmpl w:val="336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F"/>
    <w:rsid w:val="0001215E"/>
    <w:rsid w:val="000628F4"/>
    <w:rsid w:val="000B6EAC"/>
    <w:rsid w:val="001543E4"/>
    <w:rsid w:val="001B41EA"/>
    <w:rsid w:val="00224DCF"/>
    <w:rsid w:val="00242DC6"/>
    <w:rsid w:val="00280047"/>
    <w:rsid w:val="002E688B"/>
    <w:rsid w:val="00346787"/>
    <w:rsid w:val="004E1F44"/>
    <w:rsid w:val="00524A6C"/>
    <w:rsid w:val="00534B46"/>
    <w:rsid w:val="00543342"/>
    <w:rsid w:val="00573210"/>
    <w:rsid w:val="005C2EF1"/>
    <w:rsid w:val="006272B2"/>
    <w:rsid w:val="007155BD"/>
    <w:rsid w:val="00755C05"/>
    <w:rsid w:val="0085065F"/>
    <w:rsid w:val="008748F7"/>
    <w:rsid w:val="00876B81"/>
    <w:rsid w:val="008A6B25"/>
    <w:rsid w:val="008B227C"/>
    <w:rsid w:val="009847F3"/>
    <w:rsid w:val="00AD4D86"/>
    <w:rsid w:val="00B429B0"/>
    <w:rsid w:val="00C460AC"/>
    <w:rsid w:val="00CC2329"/>
    <w:rsid w:val="00DA0198"/>
    <w:rsid w:val="00E71FF8"/>
    <w:rsid w:val="00EF064D"/>
    <w:rsid w:val="00F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BE4B92-AE76-4B7F-975F-78E984B9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2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85065F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character" w:customStyle="1" w:styleId="a3">
    <w:name w:val="Основний текст Знак"/>
    <w:link w:val="a4"/>
    <w:uiPriority w:val="99"/>
    <w:locked/>
    <w:rsid w:val="009847F3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9847F3"/>
    <w:pPr>
      <w:shd w:val="clear" w:color="auto" w:fill="FFFFFF"/>
      <w:spacing w:after="0" w:line="254" w:lineRule="exact"/>
      <w:ind w:hanging="300"/>
      <w:jc w:val="both"/>
    </w:pPr>
    <w:rPr>
      <w:sz w:val="21"/>
      <w:szCs w:val="21"/>
      <w:lang w:val="en-US" w:eastAsia="en-US"/>
    </w:rPr>
  </w:style>
  <w:style w:type="character" w:customStyle="1" w:styleId="10">
    <w:name w:val="Основний текст Знак1"/>
    <w:uiPriority w:val="99"/>
    <w:semiHidden/>
    <w:rsid w:val="009847F3"/>
    <w:rPr>
      <w:sz w:val="22"/>
      <w:szCs w:val="22"/>
      <w:lang w:val="ru-RU" w:eastAsia="ru-RU"/>
    </w:rPr>
  </w:style>
  <w:style w:type="character" w:customStyle="1" w:styleId="a5">
    <w:name w:val="Основной текст + Полужирный"/>
    <w:uiPriority w:val="99"/>
    <w:rsid w:val="009847F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 + Не курсив"/>
    <w:uiPriority w:val="99"/>
    <w:rsid w:val="009847F3"/>
    <w:rPr>
      <w:rFonts w:cs="Times New Roman"/>
      <w:i/>
      <w:iCs/>
      <w:noProof/>
      <w:sz w:val="21"/>
      <w:szCs w:val="21"/>
      <w:lang w:bidi="ar-SA"/>
    </w:rPr>
  </w:style>
  <w:style w:type="character" w:styleId="a6">
    <w:name w:val="Hyperlink"/>
    <w:uiPriority w:val="99"/>
    <w:unhideWhenUsed/>
    <w:rsid w:val="000B6EAC"/>
    <w:rPr>
      <w:color w:val="0000FF"/>
      <w:u w:val="single"/>
    </w:rPr>
  </w:style>
  <w:style w:type="character" w:customStyle="1" w:styleId="a7">
    <w:name w:val="Основной текст + Курсив"/>
    <w:rsid w:val="00876B81"/>
    <w:rPr>
      <w:i/>
      <w:iCs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2800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E1F4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hyperlink" Target="mailto:trysnyuk@ukr.net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yperlink" Target="https://doi.org/10.1007/978-3-030-69189-9_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7E2D-3913-48B1-B43A-196BDF93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larysa</cp:lastModifiedBy>
  <cp:revision>2</cp:revision>
  <cp:lastPrinted>2022-11-01T11:52:00Z</cp:lastPrinted>
  <dcterms:created xsi:type="dcterms:W3CDTF">2022-11-08T15:59:00Z</dcterms:created>
  <dcterms:modified xsi:type="dcterms:W3CDTF">2022-11-08T15:59:00Z</dcterms:modified>
</cp:coreProperties>
</file>