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88" w:rsidRPr="007B62E3" w:rsidRDefault="00DC325E" w:rsidP="007B62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7B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Оцінка захищеності основних водоносних горизонтів у басейні р. Південний Буг</w:t>
      </w:r>
    </w:p>
    <w:p w:rsidR="00F54FCD" w:rsidRPr="007B62E3" w:rsidRDefault="00F54FCD" w:rsidP="007B62E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7B62E3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Саніна</w:t>
      </w:r>
      <w:proofErr w:type="spellEnd"/>
      <w:r w:rsidRPr="007B62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І.В., Люта Н.Г.</w:t>
      </w:r>
    </w:p>
    <w:p w:rsidR="000A5117" w:rsidRDefault="00F54FCD" w:rsidP="007B62E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B62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(ВП Український геологорозвідувальний інститут </w:t>
      </w:r>
    </w:p>
    <w:p w:rsidR="000A5117" w:rsidRDefault="00F54FCD" w:rsidP="007B62E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B62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ДП «Українська геологічна компанія», </w:t>
      </w:r>
    </w:p>
    <w:p w:rsidR="00260C51" w:rsidRPr="000200EC" w:rsidRDefault="00F54FCD" w:rsidP="007B62E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511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B62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</w:t>
      </w:r>
      <w:r w:rsidRPr="000A511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B62E3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B62E3" w:rsidRPr="007B62E3">
        <w:rPr>
          <w:rFonts w:ascii="Times New Roman" w:hAnsi="Times New Roman" w:cs="Times New Roman"/>
          <w:i/>
          <w:sz w:val="24"/>
          <w:szCs w:val="24"/>
          <w:lang w:val="en-US"/>
        </w:rPr>
        <w:t>ekogeol</w:t>
      </w:r>
      <w:r w:rsidR="007B62E3" w:rsidRPr="000A5117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7B62E3" w:rsidRPr="007B62E3">
        <w:rPr>
          <w:rFonts w:ascii="Times New Roman" w:hAnsi="Times New Roman" w:cs="Times New Roman"/>
          <w:i/>
          <w:sz w:val="24"/>
          <w:szCs w:val="24"/>
          <w:lang w:val="en-US"/>
        </w:rPr>
        <w:t>ukr</w:t>
      </w:r>
      <w:r w:rsidR="007B62E3" w:rsidRPr="000A51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B62E3" w:rsidRPr="007B62E3">
        <w:rPr>
          <w:rFonts w:ascii="Times New Roman" w:hAnsi="Times New Roman" w:cs="Times New Roman"/>
          <w:i/>
          <w:sz w:val="24"/>
          <w:szCs w:val="24"/>
          <w:lang w:val="en-US"/>
        </w:rPr>
        <w:t>net</w:t>
      </w:r>
      <w:r w:rsidR="000200E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60C51" w:rsidRPr="007B62E3" w:rsidRDefault="00260C51" w:rsidP="007B62E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306E" w:rsidRPr="007B62E3" w:rsidRDefault="001E7B54" w:rsidP="004C30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н</w:t>
      </w:r>
      <w:r w:rsidR="004C306E" w:rsidRPr="007B62E3">
        <w:rPr>
          <w:rFonts w:ascii="Times New Roman" w:hAnsi="Times New Roman" w:cs="Times New Roman"/>
          <w:sz w:val="24"/>
          <w:szCs w:val="24"/>
          <w:lang w:val="uk-UA"/>
        </w:rPr>
        <w:t>айважливішим питан</w:t>
      </w:r>
      <w:r w:rsidR="000200E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C306E"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06E">
        <w:rPr>
          <w:rFonts w:ascii="Times New Roman" w:hAnsi="Times New Roman" w:cs="Times New Roman"/>
          <w:sz w:val="24"/>
          <w:szCs w:val="24"/>
          <w:lang w:val="uk-UA"/>
        </w:rPr>
        <w:t>у процесі еколого-гідрогеологічних</w:t>
      </w:r>
      <w:r w:rsidR="00FC3DD5">
        <w:rPr>
          <w:rFonts w:ascii="Times New Roman" w:hAnsi="Times New Roman" w:cs="Times New Roman"/>
          <w:sz w:val="24"/>
          <w:szCs w:val="24"/>
          <w:lang w:val="uk-UA"/>
        </w:rPr>
        <w:t xml:space="preserve"> оцінок</w:t>
      </w:r>
      <w:r w:rsidR="004C3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0EC">
        <w:rPr>
          <w:rFonts w:ascii="Times New Roman" w:hAnsi="Times New Roman" w:cs="Times New Roman"/>
          <w:sz w:val="24"/>
          <w:szCs w:val="24"/>
          <w:lang w:val="uk-UA"/>
        </w:rPr>
        <w:t>і прогнозування якості підземних вод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06E"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є захищеність основних водоносних горизонтів, які </w:t>
      </w:r>
      <w:r w:rsidR="000200EC">
        <w:rPr>
          <w:rFonts w:ascii="Times New Roman" w:hAnsi="Times New Roman" w:cs="Times New Roman"/>
          <w:sz w:val="24"/>
          <w:szCs w:val="24"/>
          <w:lang w:val="uk-UA"/>
        </w:rPr>
        <w:t>використовуються або є п</w:t>
      </w:r>
      <w:r w:rsidR="004C306E" w:rsidRPr="007B62E3">
        <w:rPr>
          <w:rFonts w:ascii="Times New Roman" w:hAnsi="Times New Roman" w:cs="Times New Roman"/>
          <w:sz w:val="24"/>
          <w:szCs w:val="24"/>
          <w:lang w:val="uk-UA"/>
        </w:rPr>
        <w:t>ридатн</w:t>
      </w:r>
      <w:r w:rsidR="000200EC">
        <w:rPr>
          <w:rFonts w:ascii="Times New Roman" w:hAnsi="Times New Roman" w:cs="Times New Roman"/>
          <w:sz w:val="24"/>
          <w:szCs w:val="24"/>
          <w:lang w:val="uk-UA"/>
        </w:rPr>
        <w:t xml:space="preserve">ими </w:t>
      </w:r>
      <w:r w:rsidR="004C306E"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для господарсько-питного водопостачання. </w:t>
      </w:r>
      <w:r w:rsidR="00BF67A8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широке використання сільським населенням вод перших від поверхні водоносних горизонтів, </w:t>
      </w:r>
      <w:r w:rsidR="005A7664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BF67A8">
        <w:rPr>
          <w:rFonts w:ascii="Times New Roman" w:hAnsi="Times New Roman" w:cs="Times New Roman"/>
          <w:sz w:val="24"/>
          <w:szCs w:val="24"/>
          <w:lang w:val="uk-UA"/>
        </w:rPr>
        <w:t>повсюдно</w:t>
      </w:r>
      <w:r w:rsidR="005A7664">
        <w:rPr>
          <w:rFonts w:ascii="Times New Roman" w:hAnsi="Times New Roman" w:cs="Times New Roman"/>
          <w:sz w:val="24"/>
          <w:szCs w:val="24"/>
          <w:lang w:val="uk-UA"/>
        </w:rPr>
        <w:t xml:space="preserve"> забруднені нітратами, гостро стоїть питання переходу на більш надійне і захищене джерело водопостачання.</w:t>
      </w:r>
      <w:r w:rsidR="002841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664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r w:rsidR="00284153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актуальнішою є проблема забезпечення населення України резервними джерелами водопостачання в умовах війни. </w:t>
      </w:r>
    </w:p>
    <w:p w:rsidR="00223639" w:rsidRPr="007B62E3" w:rsidRDefault="00D94F1E" w:rsidP="007B62E3">
      <w:pPr>
        <w:pStyle w:val="a3"/>
        <w:spacing w:after="0" w:line="240" w:lineRule="auto"/>
        <w:ind w:left="0"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У природних умовах потраплянню </w:t>
      </w:r>
      <w:r w:rsidR="007651EE" w:rsidRPr="007B62E3">
        <w:rPr>
          <w:rFonts w:ascii="Times New Roman" w:hAnsi="Times New Roman" w:cs="Times New Roman"/>
          <w:sz w:val="24"/>
          <w:szCs w:val="24"/>
          <w:lang w:val="uk-UA"/>
        </w:rPr>
        <w:t>забрудненн</w:t>
      </w:r>
      <w:r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я у водоносні горизонти перешкоджають шари </w:t>
      </w:r>
      <w:proofErr w:type="spellStart"/>
      <w:r w:rsidRPr="007B62E3">
        <w:rPr>
          <w:rFonts w:ascii="Times New Roman" w:hAnsi="Times New Roman" w:cs="Times New Roman"/>
          <w:sz w:val="24"/>
          <w:szCs w:val="24"/>
          <w:lang w:val="uk-UA"/>
        </w:rPr>
        <w:t>слабопроникних</w:t>
      </w:r>
      <w:proofErr w:type="spellEnd"/>
      <w:r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 порід, які залягають у їхній покрівлі</w:t>
      </w:r>
      <w:r w:rsidR="002D4960"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 і визначають умови природної захищеності</w:t>
      </w:r>
      <w:r w:rsidR="00680468"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 та ризики забруднення від господарської діяльності</w:t>
      </w:r>
      <w:r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3639" w:rsidRPr="007B62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Критеріями оцінки захищеності при цьому є потужність </w:t>
      </w:r>
      <w:r w:rsidR="000200E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223639" w:rsidRPr="007B62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літологічний склад водотривких порід</w:t>
      </w:r>
      <w:r w:rsidR="007B62E3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.</w:t>
      </w:r>
    </w:p>
    <w:p w:rsidR="00B66941" w:rsidRDefault="00B66941" w:rsidP="007B6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За</w:t>
      </w:r>
      <w:r w:rsidR="001E7B5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виконаними оцінками із застосуванням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просторового аналізу в ГІС </w:t>
      </w: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у басейні Південного Бугу переважають захищені </w:t>
      </w:r>
      <w:r w:rsidR="00223639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підземні водоносні горизонти 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37%, а умовно захищені складають близько 35% площі. 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Проте</w:t>
      </w:r>
      <w:r w:rsidR="000200EC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умови захищеності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0200EC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різних частинах басейну 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суттєво</w:t>
      </w:r>
      <w:r w:rsidR="000200EC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різняться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, що передовсім обумовлено геологічною будовою</w:t>
      </w:r>
      <w:r w:rsidR="002516F3" w:rsidRPr="002516F3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="002516F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(рис.1)</w:t>
      </w:r>
      <w:r w:rsidR="000200E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.</w:t>
      </w:r>
    </w:p>
    <w:p w:rsidR="00D911B1" w:rsidRPr="007B62E3" w:rsidRDefault="00D911B1" w:rsidP="007B6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У</w:t>
      </w: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північно-західній частині, </w:t>
      </w:r>
      <w:r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в межах</w:t>
      </w: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Волино</w:t>
      </w:r>
      <w:proofErr w:type="spellEnd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-Подільського артезіанського басейну, переважають захищені підземні води, приурочені до відкладів сармату, </w:t>
      </w:r>
      <w:proofErr w:type="spellStart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lastRenderedPageBreak/>
        <w:t>сеноману</w:t>
      </w:r>
      <w:proofErr w:type="spellEnd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венду</w:t>
      </w:r>
      <w:proofErr w:type="spellEnd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. У покрівлі цих горизонтів поширені </w:t>
      </w:r>
      <w:proofErr w:type="spellStart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слабкопроникні</w:t>
      </w:r>
      <w:proofErr w:type="spellEnd"/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глинисті породи потужністю понад 10 метрів. Частка захищених підземних вод, які є невразливими до забруднення, складає 68%.</w:t>
      </w:r>
    </w:p>
    <w:p w:rsidR="00A50F4A" w:rsidRPr="007B62E3" w:rsidRDefault="00A50F4A" w:rsidP="007B6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 w:rsidRPr="007B62E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1936B8" wp14:editId="2E5514B9">
            <wp:extent cx="3684270" cy="2418308"/>
            <wp:effectExtent l="152400" t="114300" r="106680" b="153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мови захищеності перших від поверхні основних напірних МПВ території басейну Південного Бугу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" t="8154" r="27182" b="27888"/>
                    <a:stretch/>
                  </pic:blipFill>
                  <pic:spPr bwMode="auto">
                    <a:xfrm>
                      <a:off x="0" y="0"/>
                      <a:ext cx="3697204" cy="24267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F4A" w:rsidRPr="007B62E3" w:rsidRDefault="00A50F4A" w:rsidP="007B62E3">
      <w:pPr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</w:pPr>
      <w:r w:rsidRPr="007B62E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08DBEB" wp14:editId="1BE990A1">
            <wp:extent cx="2948940" cy="88328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мови захищеності перших від поверхні основних напірних МПВ території басейну Південного Бугу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t="76109" r="71966" b="9260"/>
                    <a:stretch/>
                  </pic:blipFill>
                  <pic:spPr bwMode="auto">
                    <a:xfrm>
                      <a:off x="0" y="0"/>
                      <a:ext cx="2973095" cy="89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941" w:rsidRPr="007B62E3" w:rsidRDefault="00B66941" w:rsidP="007B62E3">
      <w:pPr>
        <w:spacing w:after="0" w:line="240" w:lineRule="auto"/>
        <w:ind w:firstLine="284"/>
        <w:jc w:val="center"/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</w:pPr>
      <w:r w:rsidRPr="007B62E3"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  <w:t>Рисунок</w:t>
      </w:r>
      <w:r w:rsidR="002516F3" w:rsidRPr="002516F3">
        <w:rPr>
          <w:rStyle w:val="tlid-translationtranslation"/>
          <w:rFonts w:ascii="Times New Roman" w:hAnsi="Times New Roman" w:cs="Times New Roman"/>
          <w:bCs/>
          <w:sz w:val="24"/>
          <w:szCs w:val="24"/>
        </w:rPr>
        <w:t xml:space="preserve"> 1</w:t>
      </w:r>
      <w:r w:rsidRPr="007B62E3"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  <w:t xml:space="preserve"> – Умови захищеності перших від поверхні основних напірних </w:t>
      </w:r>
      <w:r w:rsidR="00514A16"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  <w:t>водоносних горизонтів</w:t>
      </w:r>
    </w:p>
    <w:p w:rsidR="00B66941" w:rsidRPr="007B62E3" w:rsidRDefault="00B66941" w:rsidP="007B6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bCs/>
          <w:sz w:val="24"/>
          <w:szCs w:val="24"/>
          <w:lang w:val="uk-UA"/>
        </w:rPr>
      </w:pPr>
    </w:p>
    <w:p w:rsidR="00B66941" w:rsidRPr="007B62E3" w:rsidRDefault="00B66941" w:rsidP="007B6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Причорноморський артезіанський басейн характеризується схожими умовами. Тут переважають захищені </w:t>
      </w:r>
      <w:r w:rsidR="00223639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підземні води у відкладах сармату, верхньої та нижньої крейди, </w:t>
      </w:r>
      <w:r w:rsidRPr="007B62E3">
        <w:rPr>
          <w:rFonts w:ascii="Times New Roman" w:hAnsi="Times New Roman" w:cs="Times New Roman"/>
          <w:sz w:val="24"/>
          <w:szCs w:val="24"/>
          <w:lang w:val="uk-UA"/>
        </w:rPr>
        <w:t xml:space="preserve">площа яких складає 47% від загальної площі артезіанського басейну. </w:t>
      </w:r>
    </w:p>
    <w:p w:rsidR="00B66941" w:rsidRPr="007B62E3" w:rsidRDefault="0003506C" w:rsidP="007B62E3">
      <w:pPr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У межах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Гідрогеологічн</w:t>
      </w:r>
      <w:r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ої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області Українського щита умови захищеності 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є менш сприятливими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. Тут 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частка 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захищених водоносних горизонтів становить 33%, в той час як 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умовно захищен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их -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38%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A2D3C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незахищених 29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%</w:t>
      </w:r>
      <w:r w:rsidR="000A5117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території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3506C" w:rsidRPr="00457C24" w:rsidRDefault="000A5117" w:rsidP="00BF6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Зважаючи, на те, що перші від поверхні </w:t>
      </w:r>
      <w:r w:rsidR="00335882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безнапірні водоносні горизонти</w:t>
      </w:r>
      <w:r w:rsidR="00B66941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882" w:rsidRPr="007B62E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35882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четвертинних відкладах</w:t>
      </w:r>
      <w:r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є незахищеними</w:t>
      </w:r>
      <w:r w:rsidR="00B66941" w:rsidRPr="00457C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6941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і різняться лише за часом </w:t>
      </w:r>
      <w:r w:rsidR="00B66941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проникнення забруднень з поверхні</w:t>
      </w:r>
      <w:r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(50-250 діб </w:t>
      </w:r>
      <w:r w:rsidR="00B66941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у північній частині басейну </w:t>
      </w:r>
      <w:r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і понад 3000</w:t>
      </w:r>
      <w:r w:rsidR="00B66941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у південній</w:t>
      </w:r>
      <w:r w:rsidR="002516F3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>)</w:t>
      </w:r>
      <w:r w:rsidR="00BF67A8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7A8" w:rsidRPr="00457C24">
        <w:rPr>
          <w:rStyle w:val="tlid-translationtranslation"/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proofErr w:type="spellStart"/>
      <w:r w:rsidR="00BF67A8" w:rsidRPr="00457C24">
        <w:rPr>
          <w:rStyle w:val="tlid-translationtranslation"/>
          <w:rFonts w:ascii="Times New Roman" w:hAnsi="Times New Roman" w:cs="Times New Roman"/>
          <w:i/>
          <w:iCs/>
          <w:sz w:val="24"/>
          <w:szCs w:val="24"/>
          <w:lang w:val="uk-UA"/>
        </w:rPr>
        <w:t>Саніна</w:t>
      </w:r>
      <w:proofErr w:type="spellEnd"/>
      <w:r w:rsidR="00BF67A8" w:rsidRPr="00457C24">
        <w:rPr>
          <w:rStyle w:val="tlid-translationtranslation"/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Люта, </w:t>
      </w:r>
      <w:r w:rsidR="009847F7" w:rsidRPr="00457C24">
        <w:rPr>
          <w:rStyle w:val="tlid-translationtranslation"/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Приходько, </w:t>
      </w:r>
      <w:r w:rsidR="00BF67A8" w:rsidRPr="00457C24">
        <w:rPr>
          <w:rStyle w:val="tlid-translationtranslation"/>
          <w:rFonts w:ascii="Times New Roman" w:hAnsi="Times New Roman" w:cs="Times New Roman"/>
          <w:i/>
          <w:iCs/>
          <w:sz w:val="24"/>
          <w:szCs w:val="24"/>
          <w:lang w:val="uk-UA"/>
        </w:rPr>
        <w:t>2008),</w:t>
      </w:r>
      <w:r w:rsidR="00BF67A8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 а також на тісний гідравлічний зв'язок між водоносними горизонтами зони активного водообміну, у зоні ризику забруднення з поверхні знаходиться низка </w:t>
      </w:r>
      <w:r w:rsidR="0003506C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основних </w:t>
      </w:r>
      <w:r w:rsidR="00BF67A8" w:rsidRPr="00457C24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водоносних горизонтів. </w:t>
      </w:r>
    </w:p>
    <w:p w:rsidR="00CC5E2C" w:rsidRPr="00457C24" w:rsidRDefault="00BF67A8" w:rsidP="00BF6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У межах Гідрогеологічної області Українського </w:t>
      </w:r>
      <w:r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щита </w:t>
      </w:r>
      <w:r w:rsidR="00284153"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94563">
        <w:rPr>
          <w:rStyle w:val="tlid-translationtranslation"/>
          <w:rFonts w:ascii="Times New Roman" w:hAnsi="Times New Roman" w:cs="Times New Roman"/>
          <w:sz w:val="24"/>
          <w:szCs w:val="24"/>
          <w:lang w:val="uk-UA"/>
        </w:rPr>
        <w:t xml:space="preserve">них належать </w:t>
      </w:r>
      <w:r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водоносні горизонти і </w:t>
      </w:r>
      <w:r w:rsidR="00284153" w:rsidRPr="00B94563">
        <w:rPr>
          <w:rFonts w:ascii="Times New Roman" w:hAnsi="Times New Roman" w:cs="Times New Roman"/>
          <w:sz w:val="24"/>
          <w:szCs w:val="24"/>
          <w:lang w:val="uk-UA"/>
        </w:rPr>
        <w:t>комплекси</w:t>
      </w:r>
      <w:r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у теригенних алювіальних і </w:t>
      </w:r>
      <w:proofErr w:type="spellStart"/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>воднольодовикових</w:t>
      </w:r>
      <w:proofErr w:type="spellEnd"/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 четвертинних відкладах, у теригенних відкладах неогену і палеогену, </w:t>
      </w:r>
      <w:r w:rsidR="00284153" w:rsidRPr="00B9456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 зоні тріщинуватості кристалічних порід архе</w:t>
      </w:r>
      <w:r w:rsidR="00B9456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>-протерозою, а в межах Причорноморського артезіанського басейну</w:t>
      </w:r>
      <w:r w:rsidRPr="00B945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5E2C" w:rsidRPr="00B9456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CC5E2C" w:rsidRPr="00457C24">
        <w:rPr>
          <w:rFonts w:ascii="Times New Roman" w:hAnsi="Times New Roman" w:cs="Times New Roman"/>
          <w:sz w:val="24"/>
          <w:szCs w:val="24"/>
          <w:lang w:val="uk-UA"/>
        </w:rPr>
        <w:t>нижній течії р. Південний Буг - у теригенних відкладах сармату.</w:t>
      </w:r>
    </w:p>
    <w:p w:rsidR="00284153" w:rsidRPr="00457C24" w:rsidRDefault="00284153" w:rsidP="00BF6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закономірності та виконані побудови будуть використані в процесі підготовки Плану управління річковим басейном Південного Буду для планування і проведення моніторингу підземних вод. Вони дозволять уточнити просторові межі об’єктів моніторингу – масивів підземних вод, а також будуть враховані </w:t>
      </w:r>
      <w:r w:rsidR="002516F3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B94563" w:rsidRPr="00457C24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04B" w:rsidRPr="00457C24">
        <w:rPr>
          <w:rFonts w:ascii="Times New Roman" w:hAnsi="Times New Roman" w:cs="Times New Roman"/>
          <w:sz w:val="24"/>
          <w:szCs w:val="24"/>
          <w:lang w:val="uk-UA"/>
        </w:rPr>
        <w:t>розміщенн</w:t>
      </w:r>
      <w:r w:rsidR="00B94563" w:rsidRPr="00457C2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C704B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спостережних свердловин</w:t>
      </w:r>
      <w:r w:rsidR="00B94563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16F3" w:rsidRPr="00457C24">
        <w:rPr>
          <w:rFonts w:ascii="Times New Roman" w:hAnsi="Times New Roman" w:cs="Times New Roman"/>
          <w:sz w:val="24"/>
          <w:szCs w:val="24"/>
          <w:lang w:val="uk-UA"/>
        </w:rPr>
        <w:t>так і</w:t>
      </w:r>
      <w:r w:rsidR="00B94563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  <w:r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563" w:rsidRPr="00457C24">
        <w:rPr>
          <w:rFonts w:ascii="Times New Roman" w:hAnsi="Times New Roman" w:cs="Times New Roman"/>
          <w:sz w:val="24"/>
          <w:szCs w:val="24"/>
          <w:lang w:val="uk-UA"/>
        </w:rPr>
        <w:t>визначенні періодичності спостережень</w:t>
      </w:r>
      <w:r w:rsidR="002516F3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C704B" w:rsidRPr="0045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7C24">
        <w:rPr>
          <w:rFonts w:ascii="Times New Roman" w:hAnsi="Times New Roman" w:cs="Times New Roman"/>
          <w:sz w:val="24"/>
          <w:szCs w:val="24"/>
          <w:lang w:val="uk-UA"/>
        </w:rPr>
        <w:t>переліку контрольованих показників.</w:t>
      </w:r>
    </w:p>
    <w:p w:rsidR="00284153" w:rsidRPr="00457C24" w:rsidRDefault="00284153" w:rsidP="00BF6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153" w:rsidRPr="00457C24" w:rsidRDefault="00284153" w:rsidP="00BF6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7C2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посилань</w:t>
      </w:r>
    </w:p>
    <w:p w:rsidR="00284153" w:rsidRPr="009847F7" w:rsidRDefault="009847F7" w:rsidP="00AC70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261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Саніна</w:t>
      </w:r>
      <w:proofErr w:type="spellEnd"/>
      <w:r w:rsidR="009D563F" w:rsidRPr="00E8261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І.В.</w:t>
      </w:r>
      <w:r w:rsidRP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>, Люта</w:t>
      </w:r>
      <w:r w:rsidR="009D563F" w:rsidRP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Н.Г.</w:t>
      </w:r>
      <w:r w:rsidRP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Приходько </w:t>
      </w:r>
      <w:r w:rsidR="009D563F" w:rsidRPr="00E8261E">
        <w:rPr>
          <w:rFonts w:ascii="Times New Roman" w:hAnsi="Times New Roman" w:cs="Times New Roman"/>
          <w:i/>
          <w:iCs/>
          <w:sz w:val="24"/>
          <w:szCs w:val="24"/>
          <w:lang w:val="uk-UA"/>
        </w:rPr>
        <w:t>С.М.</w:t>
      </w:r>
      <w:r w:rsidR="009D56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(2005).</w:t>
      </w:r>
      <w:r w:rsidRPr="009847F7">
        <w:rPr>
          <w:rFonts w:ascii="Times New Roman" w:hAnsi="Times New Roman" w:cs="Times New Roman"/>
          <w:sz w:val="24"/>
          <w:szCs w:val="24"/>
          <w:lang w:val="uk-UA"/>
        </w:rPr>
        <w:t xml:space="preserve"> Оцінка захисних властивостей порід зони аерації із застосуванням ГІС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847F7">
        <w:rPr>
          <w:rFonts w:ascii="Times New Roman" w:hAnsi="Times New Roman" w:cs="Times New Roman"/>
          <w:sz w:val="24"/>
          <w:szCs w:val="24"/>
          <w:lang w:val="uk-UA"/>
        </w:rPr>
        <w:t xml:space="preserve"> Збірник наукових праць </w:t>
      </w:r>
      <w:proofErr w:type="spellStart"/>
      <w:r w:rsidRPr="009847F7">
        <w:rPr>
          <w:rFonts w:ascii="Times New Roman" w:hAnsi="Times New Roman" w:cs="Times New Roman"/>
          <w:sz w:val="24"/>
          <w:szCs w:val="24"/>
          <w:lang w:val="uk-UA"/>
        </w:rPr>
        <w:t>УкрДГРІ</w:t>
      </w:r>
      <w:proofErr w:type="spellEnd"/>
      <w:r w:rsidRPr="009847F7">
        <w:rPr>
          <w:rFonts w:ascii="Times New Roman" w:hAnsi="Times New Roman" w:cs="Times New Roman"/>
          <w:sz w:val="24"/>
          <w:szCs w:val="24"/>
          <w:lang w:val="uk-UA"/>
        </w:rPr>
        <w:t>. 3. С.115-120.</w:t>
      </w:r>
    </w:p>
    <w:sectPr w:rsidR="00284153" w:rsidRPr="009847F7" w:rsidSect="007B62E3">
      <w:pgSz w:w="8391" w:h="11906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FAB"/>
    <w:multiLevelType w:val="hybridMultilevel"/>
    <w:tmpl w:val="6628A3DE"/>
    <w:lvl w:ilvl="0" w:tplc="D4EAC8D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9"/>
    <w:rsid w:val="00010123"/>
    <w:rsid w:val="000200EC"/>
    <w:rsid w:val="0003506C"/>
    <w:rsid w:val="000A5117"/>
    <w:rsid w:val="001219DB"/>
    <w:rsid w:val="0016157E"/>
    <w:rsid w:val="001C4922"/>
    <w:rsid w:val="001E7B54"/>
    <w:rsid w:val="00213D21"/>
    <w:rsid w:val="00223639"/>
    <w:rsid w:val="002516F3"/>
    <w:rsid w:val="00260C51"/>
    <w:rsid w:val="00284153"/>
    <w:rsid w:val="002D4960"/>
    <w:rsid w:val="00335882"/>
    <w:rsid w:val="003544F0"/>
    <w:rsid w:val="00395F3D"/>
    <w:rsid w:val="003A2D3C"/>
    <w:rsid w:val="003B0E21"/>
    <w:rsid w:val="00457C24"/>
    <w:rsid w:val="004638F9"/>
    <w:rsid w:val="0049072D"/>
    <w:rsid w:val="004959AB"/>
    <w:rsid w:val="004C306E"/>
    <w:rsid w:val="00514A16"/>
    <w:rsid w:val="00521BE9"/>
    <w:rsid w:val="005529F6"/>
    <w:rsid w:val="005A7664"/>
    <w:rsid w:val="005B38B3"/>
    <w:rsid w:val="00671E88"/>
    <w:rsid w:val="00680468"/>
    <w:rsid w:val="00747949"/>
    <w:rsid w:val="007651EE"/>
    <w:rsid w:val="00782254"/>
    <w:rsid w:val="007B62E3"/>
    <w:rsid w:val="0088508A"/>
    <w:rsid w:val="00963BFD"/>
    <w:rsid w:val="0097693D"/>
    <w:rsid w:val="009847F7"/>
    <w:rsid w:val="009A30E9"/>
    <w:rsid w:val="009D563F"/>
    <w:rsid w:val="00A0569A"/>
    <w:rsid w:val="00A26887"/>
    <w:rsid w:val="00A50F4A"/>
    <w:rsid w:val="00AC704B"/>
    <w:rsid w:val="00B66941"/>
    <w:rsid w:val="00B86FA0"/>
    <w:rsid w:val="00B94563"/>
    <w:rsid w:val="00BA261D"/>
    <w:rsid w:val="00BF67A8"/>
    <w:rsid w:val="00C91BF3"/>
    <w:rsid w:val="00CC5E2C"/>
    <w:rsid w:val="00D33645"/>
    <w:rsid w:val="00D631C3"/>
    <w:rsid w:val="00D80349"/>
    <w:rsid w:val="00D904E7"/>
    <w:rsid w:val="00D911B1"/>
    <w:rsid w:val="00D94F1E"/>
    <w:rsid w:val="00DC325E"/>
    <w:rsid w:val="00E8261E"/>
    <w:rsid w:val="00F54FCD"/>
    <w:rsid w:val="00F66326"/>
    <w:rsid w:val="00F926CF"/>
    <w:rsid w:val="00F954EE"/>
    <w:rsid w:val="00FA37D8"/>
    <w:rsid w:val="00FC0FE9"/>
    <w:rsid w:val="00FC16C5"/>
    <w:rsid w:val="00FC3DD5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B19B1-2946-4C43-AB1B-2B225C6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85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8850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jlqj4b">
    <w:name w:val="jlqj4b"/>
    <w:basedOn w:val="a0"/>
    <w:rsid w:val="0088508A"/>
  </w:style>
  <w:style w:type="paragraph" w:styleId="a3">
    <w:name w:val="List Paragraph"/>
    <w:basedOn w:val="a"/>
    <w:uiPriority w:val="34"/>
    <w:qFormat/>
    <w:rsid w:val="00BA261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904E7"/>
    <w:pPr>
      <w:widowControl w:val="0"/>
      <w:spacing w:after="0" w:line="240" w:lineRule="auto"/>
      <w:ind w:left="827"/>
    </w:pPr>
    <w:rPr>
      <w:rFonts w:ascii="Book Antiqua" w:eastAsia="Book Antiqua" w:hAnsi="Book Antiqua" w:cs="Times New Roman"/>
      <w:lang w:val="en-US"/>
    </w:rPr>
  </w:style>
  <w:style w:type="character" w:customStyle="1" w:styleId="a5">
    <w:name w:val="Основний текст Знак"/>
    <w:basedOn w:val="a0"/>
    <w:link w:val="a4"/>
    <w:uiPriority w:val="1"/>
    <w:rsid w:val="00D904E7"/>
    <w:rPr>
      <w:rFonts w:ascii="Book Antiqua" w:eastAsia="Book Antiqua" w:hAnsi="Book Antiqua" w:cs="Times New Roman"/>
      <w:lang w:val="en-US"/>
    </w:rPr>
  </w:style>
  <w:style w:type="character" w:customStyle="1" w:styleId="tlid-translationtranslation">
    <w:name w:val="tlid-translation translation"/>
    <w:rsid w:val="00D904E7"/>
  </w:style>
  <w:style w:type="paragraph" w:customStyle="1" w:styleId="StandardTable">
    <w:name w:val="Standard Table"/>
    <w:basedOn w:val="a"/>
    <w:rsid w:val="00D904E7"/>
    <w:pPr>
      <w:suppressAutoHyphens/>
      <w:spacing w:after="0" w:line="240" w:lineRule="auto"/>
    </w:pPr>
    <w:rPr>
      <w:rFonts w:ascii="Arial" w:eastAsia="Calibri" w:hAnsi="Arial" w:cs="Times New Roman"/>
      <w:iCs/>
      <w:sz w:val="18"/>
      <w:szCs w:val="24"/>
      <w:lang w:val="en-GB" w:eastAsia="de-DE"/>
    </w:rPr>
  </w:style>
  <w:style w:type="paragraph" w:styleId="a6">
    <w:name w:val="Normal (Web)"/>
    <w:basedOn w:val="a"/>
    <w:uiPriority w:val="99"/>
    <w:unhideWhenUsed/>
    <w:rsid w:val="00D9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544F0"/>
    <w:rPr>
      <w:rFonts w:cs="Times New Roman"/>
      <w:color w:val="003399"/>
      <w:u w:val="none"/>
    </w:rPr>
  </w:style>
  <w:style w:type="character" w:customStyle="1" w:styleId="tlid-translation">
    <w:name w:val="tlid-translation"/>
    <w:rsid w:val="003544F0"/>
  </w:style>
  <w:style w:type="table" w:styleId="a8">
    <w:name w:val="Table Grid"/>
    <w:basedOn w:val="a1"/>
    <w:uiPriority w:val="59"/>
    <w:rsid w:val="00F5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larysa</cp:lastModifiedBy>
  <cp:revision>2</cp:revision>
  <dcterms:created xsi:type="dcterms:W3CDTF">2022-11-09T08:59:00Z</dcterms:created>
  <dcterms:modified xsi:type="dcterms:W3CDTF">2022-11-09T08:59:00Z</dcterms:modified>
</cp:coreProperties>
</file>